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983E3" w14:textId="4FCBD75F" w:rsidR="00BE462A" w:rsidRDefault="0089766B" w:rsidP="0089766B">
      <w:pPr>
        <w:spacing w:line="360" w:lineRule="auto"/>
        <w:jc w:val="center"/>
        <w:rPr>
          <w:rFonts w:ascii="Arial" w:hAnsi="Arial" w:cs="Arial"/>
          <w:i/>
          <w:color w:val="252525"/>
          <w:sz w:val="24"/>
          <w:szCs w:val="24"/>
          <w:shd w:val="clear" w:color="auto" w:fill="FFFFFF"/>
        </w:rPr>
      </w:pPr>
      <w:r w:rsidRPr="008761C1">
        <w:rPr>
          <w:rFonts w:ascii="Arial" w:hAnsi="Arial" w:cs="Arial"/>
          <w:b/>
          <w:bCs/>
          <w:sz w:val="24"/>
          <w:szCs w:val="24"/>
        </w:rPr>
        <w:t>EVALUACI</w:t>
      </w:r>
      <w:r w:rsidRPr="008761C1">
        <w:rPr>
          <w:rFonts w:ascii="Arial" w:hAnsi="Arial" w:cs="Arial"/>
          <w:b/>
          <w:bCs/>
          <w:sz w:val="24"/>
        </w:rPr>
        <w:t>Ó</w:t>
      </w:r>
      <w:r w:rsidRPr="008761C1">
        <w:rPr>
          <w:rFonts w:ascii="Arial" w:hAnsi="Arial" w:cs="Arial"/>
          <w:b/>
          <w:bCs/>
          <w:sz w:val="24"/>
          <w:szCs w:val="24"/>
        </w:rPr>
        <w:t>N DE LA ACTIVIDAD ANTIMICROBIANA DE LA NANOFIBRA POLI-</w:t>
      </w:r>
      <w:r w:rsidRPr="008761C1">
        <w:rPr>
          <w:rFonts w:ascii="Arial" w:hAnsi="Arial" w:cs="Arial"/>
          <w:b/>
          <w:bCs/>
          <w:color w:val="252525"/>
          <w:sz w:val="24"/>
          <w:szCs w:val="24"/>
          <w:shd w:val="clear" w:color="auto" w:fill="FFFFFF"/>
        </w:rPr>
        <w:t>ε-</w:t>
      </w:r>
      <w:r w:rsidRPr="008761C1">
        <w:rPr>
          <w:rFonts w:ascii="Arial" w:hAnsi="Arial" w:cs="Arial"/>
          <w:b/>
          <w:bCs/>
          <w:sz w:val="24"/>
          <w:szCs w:val="24"/>
        </w:rPr>
        <w:t>CAPROLACTONA/PLATA</w:t>
      </w:r>
      <w:r>
        <w:rPr>
          <w:rFonts w:ascii="Arial" w:hAnsi="Arial" w:cs="Arial"/>
          <w:sz w:val="24"/>
          <w:szCs w:val="24"/>
        </w:rPr>
        <w:br/>
      </w:r>
      <w:r w:rsidR="00BE462A" w:rsidRPr="0089766B">
        <w:rPr>
          <w:rFonts w:ascii="Arial" w:hAnsi="Arial" w:cs="Arial"/>
          <w:i/>
          <w:color w:val="252525"/>
          <w:sz w:val="24"/>
          <w:szCs w:val="24"/>
          <w:shd w:val="clear" w:color="auto" w:fill="FFFFFF"/>
        </w:rPr>
        <w:t>Karla Liliana</w:t>
      </w:r>
      <w:r w:rsidR="00BE462A">
        <w:rPr>
          <w:rFonts w:ascii="Arial" w:hAnsi="Arial" w:cs="Arial"/>
          <w:i/>
          <w:color w:val="252525"/>
          <w:sz w:val="24"/>
          <w:szCs w:val="24"/>
          <w:shd w:val="clear" w:color="auto" w:fill="FFFFFF"/>
        </w:rPr>
        <w:t xml:space="preserve"> </w:t>
      </w:r>
      <w:r w:rsidRPr="0089766B">
        <w:rPr>
          <w:rFonts w:ascii="Arial" w:hAnsi="Arial" w:cs="Arial"/>
          <w:i/>
          <w:color w:val="252525"/>
          <w:sz w:val="24"/>
          <w:szCs w:val="24"/>
          <w:shd w:val="clear" w:color="auto" w:fill="FFFFFF"/>
        </w:rPr>
        <w:t xml:space="preserve">Esquivel Reyes, </w:t>
      </w:r>
      <w:r w:rsidR="00BE462A">
        <w:rPr>
          <w:rFonts w:ascii="Arial" w:hAnsi="Arial" w:cs="Arial"/>
          <w:i/>
          <w:color w:val="252525"/>
          <w:sz w:val="24"/>
          <w:szCs w:val="24"/>
          <w:shd w:val="clear" w:color="auto" w:fill="FFFFFF"/>
        </w:rPr>
        <w:t>(</w:t>
      </w:r>
      <w:hyperlink r:id="rId7" w:history="1">
        <w:r w:rsidR="00BE462A" w:rsidRPr="00854D79">
          <w:rPr>
            <w:rStyle w:val="Hipervnculo"/>
            <w:rFonts w:asciiTheme="majorHAnsi" w:hAnsiTheme="majorHAnsi" w:cstheme="majorHAnsi"/>
            <w:i/>
            <w:iCs/>
            <w:sz w:val="24"/>
            <w:szCs w:val="24"/>
          </w:rPr>
          <w:t>al171790@alumnos.uacj.mx</w:t>
        </w:r>
      </w:hyperlink>
      <w:r w:rsidR="00BE462A">
        <w:rPr>
          <w:rFonts w:asciiTheme="majorHAnsi" w:hAnsiTheme="majorHAnsi" w:cstheme="majorHAnsi"/>
          <w:i/>
          <w:iCs/>
          <w:color w:val="000000"/>
          <w:sz w:val="24"/>
          <w:szCs w:val="24"/>
        </w:rPr>
        <w:t>)</w:t>
      </w:r>
      <w:r w:rsidRPr="0089766B">
        <w:rPr>
          <w:rFonts w:ascii="Arial" w:hAnsi="Arial" w:cs="Arial"/>
          <w:i/>
          <w:color w:val="252525"/>
          <w:sz w:val="24"/>
          <w:szCs w:val="24"/>
          <w:shd w:val="clear" w:color="auto" w:fill="FFFFFF"/>
        </w:rPr>
        <w:t>;</w:t>
      </w:r>
    </w:p>
    <w:p w14:paraId="5D2F4AD5" w14:textId="3FB5C040" w:rsidR="00BE462A" w:rsidRPr="00C05C7E" w:rsidRDefault="00BE462A" w:rsidP="00BE462A">
      <w:pPr>
        <w:spacing w:line="360" w:lineRule="auto"/>
        <w:rPr>
          <w:rFonts w:ascii="Arial" w:hAnsi="Arial" w:cs="Arial"/>
          <w:lang w:val="es-ES"/>
        </w:rPr>
      </w:pPr>
      <w:r>
        <w:rPr>
          <w:rFonts w:asciiTheme="majorHAnsi" w:hAnsiTheme="majorHAnsi" w:cstheme="majorHAnsi"/>
          <w:i/>
          <w:iCs/>
          <w:color w:val="000000"/>
          <w:sz w:val="24"/>
          <w:szCs w:val="24"/>
        </w:rPr>
        <w:t xml:space="preserve">Licenciatura en Química, </w:t>
      </w:r>
      <w:r w:rsidR="0089766B" w:rsidRPr="0089766B">
        <w:rPr>
          <w:rFonts w:asciiTheme="majorHAnsi" w:hAnsiTheme="majorHAnsi" w:cstheme="majorHAnsi"/>
          <w:i/>
          <w:iCs/>
          <w:color w:val="000000"/>
          <w:sz w:val="24"/>
          <w:szCs w:val="24"/>
        </w:rPr>
        <w:t xml:space="preserve">Departamento de Ciencias Químico-Biológicas, Instituto de Ciencias Biomédicas, Universidad Autónoma de Ciudad Juárez, Envolvente del PRONAF y Estocolmo s/n, Ciudad Juárez, Chihuahua, C.P. 32310, México. </w:t>
      </w:r>
      <w:r w:rsidR="0089766B">
        <w:rPr>
          <w:rFonts w:asciiTheme="majorHAnsi" w:hAnsiTheme="majorHAnsi" w:cstheme="majorHAnsi"/>
          <w:i/>
          <w:iCs/>
          <w:color w:val="000000"/>
          <w:sz w:val="24"/>
          <w:szCs w:val="24"/>
        </w:rPr>
        <w:br/>
      </w:r>
      <w:r w:rsidRPr="00C05C7E">
        <w:rPr>
          <w:rFonts w:ascii="Arial" w:hAnsi="Arial" w:cs="Arial"/>
          <w:lang w:val="es-ES"/>
        </w:rPr>
        <w:t>Tutor:</w:t>
      </w:r>
      <w:r>
        <w:rPr>
          <w:rFonts w:ascii="Arial" w:hAnsi="Arial" w:cs="Arial"/>
          <w:lang w:val="es-ES"/>
        </w:rPr>
        <w:t xml:space="preserve"> Dr. </w:t>
      </w:r>
      <w:r w:rsidRPr="00C05C7E">
        <w:rPr>
          <w:rFonts w:ascii="Arial" w:hAnsi="Arial" w:cs="Arial"/>
          <w:lang w:val="es-ES"/>
        </w:rPr>
        <w:t>Simón Yobanny Reyes López.</w:t>
      </w:r>
    </w:p>
    <w:p w14:paraId="39DADD94" w14:textId="77777777" w:rsidR="00C85031" w:rsidRPr="0089766B" w:rsidRDefault="00C85031" w:rsidP="0089766B">
      <w:pPr>
        <w:tabs>
          <w:tab w:val="left" w:pos="1080"/>
          <w:tab w:val="right" w:pos="9000"/>
        </w:tabs>
        <w:jc w:val="center"/>
        <w:rPr>
          <w:rFonts w:asciiTheme="majorHAnsi" w:hAnsiTheme="majorHAnsi" w:cstheme="majorHAnsi"/>
          <w:i/>
          <w:iCs/>
          <w:color w:val="000000"/>
          <w:sz w:val="24"/>
          <w:szCs w:val="24"/>
        </w:rPr>
      </w:pPr>
    </w:p>
    <w:p w14:paraId="04B1F8DB" w14:textId="77777777" w:rsidR="006B7EC1" w:rsidRPr="008761C1" w:rsidRDefault="0006043F" w:rsidP="0003794E">
      <w:pPr>
        <w:spacing w:after="120" w:line="360" w:lineRule="auto"/>
        <w:jc w:val="both"/>
        <w:rPr>
          <w:rFonts w:ascii="Arial" w:hAnsi="Arial" w:cs="Arial"/>
          <w:b/>
          <w:bCs/>
          <w:sz w:val="24"/>
          <w:szCs w:val="24"/>
        </w:rPr>
      </w:pPr>
      <w:r w:rsidRPr="008761C1">
        <w:rPr>
          <w:rFonts w:ascii="Arial" w:hAnsi="Arial" w:cs="Arial"/>
          <w:b/>
          <w:bCs/>
          <w:sz w:val="24"/>
          <w:szCs w:val="24"/>
        </w:rPr>
        <w:t>RESUMEN</w:t>
      </w:r>
    </w:p>
    <w:p w14:paraId="3AA49671" w14:textId="65A93F98" w:rsidR="0003794E" w:rsidRDefault="0003794E" w:rsidP="0003794E">
      <w:pPr>
        <w:spacing w:after="120" w:line="360" w:lineRule="auto"/>
        <w:jc w:val="both"/>
        <w:rPr>
          <w:rFonts w:ascii="Arial" w:hAnsi="Arial" w:cs="Arial"/>
          <w:sz w:val="24"/>
          <w:szCs w:val="24"/>
        </w:rPr>
      </w:pPr>
      <w:r w:rsidRPr="006B7EC1">
        <w:rPr>
          <w:rFonts w:ascii="Arial" w:hAnsi="Arial" w:cs="Arial"/>
          <w:sz w:val="24"/>
          <w:szCs w:val="24"/>
        </w:rPr>
        <w:t xml:space="preserve">La nanotecnología ha tomado un papel importante en la búsqueda de nuevos métodos para prevenir y tratar infecciones, incluyendo el uso de nanopartículas </w:t>
      </w:r>
      <w:r w:rsidR="0086784C">
        <w:rPr>
          <w:rFonts w:ascii="Arial" w:hAnsi="Arial" w:cs="Arial"/>
          <w:sz w:val="24"/>
          <w:szCs w:val="24"/>
        </w:rPr>
        <w:t xml:space="preserve">(NPs) </w:t>
      </w:r>
      <w:r w:rsidRPr="006B7EC1">
        <w:rPr>
          <w:rFonts w:ascii="Arial" w:hAnsi="Arial" w:cs="Arial"/>
          <w:sz w:val="24"/>
          <w:szCs w:val="24"/>
        </w:rPr>
        <w:t xml:space="preserve">metálicas con propiedades antimicrobianas. En el siguiente trabajo se diseñó </w:t>
      </w:r>
      <w:bookmarkStart w:id="0" w:name="_Hlk19190560"/>
      <w:r w:rsidRPr="006B7EC1">
        <w:rPr>
          <w:rFonts w:ascii="Arial" w:hAnsi="Arial" w:cs="Arial"/>
          <w:sz w:val="24"/>
          <w:szCs w:val="24"/>
        </w:rPr>
        <w:t>un compósito con N</w:t>
      </w:r>
      <w:r w:rsidR="0086784C">
        <w:rPr>
          <w:rFonts w:ascii="Arial" w:hAnsi="Arial" w:cs="Arial"/>
          <w:sz w:val="24"/>
          <w:szCs w:val="24"/>
        </w:rPr>
        <w:t>P</w:t>
      </w:r>
      <w:r w:rsidRPr="006B7EC1">
        <w:rPr>
          <w:rFonts w:ascii="Arial" w:hAnsi="Arial" w:cs="Arial"/>
          <w:sz w:val="24"/>
          <w:szCs w:val="24"/>
        </w:rPr>
        <w:t>sAg embebidas en nanofibras de poliépsilon-caprolactona (PCL) para probar su capacidad antimicrobiana</w:t>
      </w:r>
      <w:bookmarkEnd w:id="0"/>
      <w:r w:rsidRPr="006B7EC1">
        <w:rPr>
          <w:rFonts w:ascii="Arial" w:hAnsi="Arial" w:cs="Arial"/>
          <w:sz w:val="24"/>
          <w:szCs w:val="24"/>
        </w:rPr>
        <w:t>. Las N</w:t>
      </w:r>
      <w:r w:rsidR="0086784C">
        <w:rPr>
          <w:rFonts w:ascii="Arial" w:hAnsi="Arial" w:cs="Arial"/>
          <w:sz w:val="24"/>
          <w:szCs w:val="24"/>
        </w:rPr>
        <w:t>P</w:t>
      </w:r>
      <w:r w:rsidRPr="006B7EC1">
        <w:rPr>
          <w:rFonts w:ascii="Arial" w:hAnsi="Arial" w:cs="Arial"/>
          <w:sz w:val="24"/>
          <w:szCs w:val="24"/>
        </w:rPr>
        <w:t>sAg fueron caracterizadas por dispersión dinámica de luz (DSL) y espectroscopía Uv/Vis</w:t>
      </w:r>
      <w:r w:rsidR="006B7EC1" w:rsidRPr="006B7EC1">
        <w:rPr>
          <w:rFonts w:ascii="Arial" w:hAnsi="Arial" w:cs="Arial"/>
          <w:sz w:val="24"/>
          <w:szCs w:val="24"/>
        </w:rPr>
        <w:t>.</w:t>
      </w:r>
      <w:r w:rsidR="0086784C">
        <w:rPr>
          <w:rFonts w:ascii="Arial" w:hAnsi="Arial" w:cs="Arial"/>
          <w:sz w:val="24"/>
          <w:szCs w:val="24"/>
        </w:rPr>
        <w:t xml:space="preserve"> </w:t>
      </w:r>
      <w:r w:rsidRPr="006B7EC1">
        <w:rPr>
          <w:rFonts w:ascii="Arial" w:hAnsi="Arial" w:cs="Arial"/>
          <w:sz w:val="24"/>
          <w:szCs w:val="24"/>
        </w:rPr>
        <w:t>Para la producción de nanofibras por electrohilado, la PCL se disolvió en la solución con N</w:t>
      </w:r>
      <w:r w:rsidR="0086784C">
        <w:rPr>
          <w:rFonts w:ascii="Arial" w:hAnsi="Arial" w:cs="Arial"/>
          <w:sz w:val="24"/>
          <w:szCs w:val="24"/>
        </w:rPr>
        <w:t>P</w:t>
      </w:r>
      <w:r w:rsidRPr="006B7EC1">
        <w:rPr>
          <w:rFonts w:ascii="Arial" w:hAnsi="Arial" w:cs="Arial"/>
          <w:sz w:val="24"/>
          <w:szCs w:val="24"/>
        </w:rPr>
        <w:t xml:space="preserve">sAg. </w:t>
      </w:r>
      <w:r w:rsidR="006B7EC1" w:rsidRPr="006B7EC1">
        <w:rPr>
          <w:rFonts w:ascii="Arial" w:hAnsi="Arial" w:cs="Arial"/>
          <w:sz w:val="24"/>
          <w:szCs w:val="24"/>
        </w:rPr>
        <w:t>Se evaluó</w:t>
      </w:r>
      <w:r w:rsidRPr="006B7EC1">
        <w:rPr>
          <w:rFonts w:ascii="Arial" w:hAnsi="Arial" w:cs="Arial"/>
          <w:sz w:val="24"/>
          <w:szCs w:val="24"/>
        </w:rPr>
        <w:t xml:space="preserve"> la actividad antimicrobiana se realizaron los métodos de difusión en agar y turbidimetría en bacterias Gram-negativas</w:t>
      </w:r>
      <w:r w:rsidR="006B7EC1" w:rsidRPr="006B7EC1">
        <w:rPr>
          <w:rFonts w:ascii="Arial" w:hAnsi="Arial" w:cs="Arial"/>
          <w:sz w:val="24"/>
          <w:szCs w:val="24"/>
        </w:rPr>
        <w:t xml:space="preserve"> </w:t>
      </w:r>
      <w:r w:rsidRPr="006B7EC1">
        <w:rPr>
          <w:rFonts w:ascii="Arial" w:hAnsi="Arial" w:cs="Arial"/>
          <w:sz w:val="24"/>
          <w:szCs w:val="24"/>
        </w:rPr>
        <w:t xml:space="preserve">y bacterias Gram-positivas Los resultados mostraron la sensibilidad de </w:t>
      </w:r>
      <w:r w:rsidRPr="006B7EC1">
        <w:rPr>
          <w:rFonts w:ascii="Arial" w:hAnsi="Arial" w:cs="Arial"/>
          <w:i/>
          <w:sz w:val="24"/>
          <w:szCs w:val="24"/>
        </w:rPr>
        <w:t>E. coli, K. pneumoniae, S. aureus</w:t>
      </w:r>
      <w:r w:rsidRPr="006B7EC1">
        <w:rPr>
          <w:rFonts w:ascii="Arial" w:hAnsi="Arial" w:cs="Arial"/>
          <w:sz w:val="24"/>
          <w:szCs w:val="24"/>
        </w:rPr>
        <w:t xml:space="preserve"> y </w:t>
      </w:r>
      <w:r w:rsidRPr="006B7EC1">
        <w:rPr>
          <w:rFonts w:ascii="Arial" w:hAnsi="Arial" w:cs="Arial"/>
          <w:i/>
          <w:sz w:val="24"/>
          <w:szCs w:val="24"/>
        </w:rPr>
        <w:t xml:space="preserve">P. aeruginosa </w:t>
      </w:r>
      <w:r w:rsidRPr="006B7EC1">
        <w:rPr>
          <w:rFonts w:ascii="Arial" w:hAnsi="Arial" w:cs="Arial"/>
          <w:sz w:val="24"/>
          <w:szCs w:val="24"/>
        </w:rPr>
        <w:t xml:space="preserve">mientras que </w:t>
      </w:r>
      <w:r w:rsidRPr="006B7EC1">
        <w:rPr>
          <w:rFonts w:ascii="Arial" w:hAnsi="Arial" w:cs="Arial"/>
          <w:i/>
          <w:sz w:val="24"/>
          <w:szCs w:val="24"/>
        </w:rPr>
        <w:t xml:space="preserve">B. subtilis </w:t>
      </w:r>
      <w:r w:rsidRPr="006B7EC1">
        <w:rPr>
          <w:rFonts w:ascii="Arial" w:hAnsi="Arial" w:cs="Arial"/>
          <w:sz w:val="24"/>
          <w:szCs w:val="24"/>
        </w:rPr>
        <w:t xml:space="preserve">y </w:t>
      </w:r>
      <w:r w:rsidRPr="006B7EC1">
        <w:rPr>
          <w:rFonts w:ascii="Arial" w:hAnsi="Arial" w:cs="Arial"/>
          <w:i/>
          <w:sz w:val="24"/>
          <w:szCs w:val="24"/>
        </w:rPr>
        <w:t>S. mutans</w:t>
      </w:r>
      <w:r w:rsidRPr="006B7EC1">
        <w:rPr>
          <w:rFonts w:ascii="Arial" w:hAnsi="Arial" w:cs="Arial"/>
          <w:sz w:val="24"/>
          <w:szCs w:val="24"/>
        </w:rPr>
        <w:t xml:space="preserve"> no mostraron sensibilidad a la fibra PCL/Ag</w:t>
      </w:r>
      <w:r w:rsidRPr="006B7EC1">
        <w:rPr>
          <w:rFonts w:ascii="Arial" w:hAnsi="Arial" w:cs="Arial"/>
          <w:i/>
          <w:sz w:val="24"/>
          <w:szCs w:val="24"/>
        </w:rPr>
        <w:t xml:space="preserve">. </w:t>
      </w:r>
      <w:r w:rsidRPr="006B7EC1">
        <w:rPr>
          <w:rFonts w:ascii="Arial" w:hAnsi="Arial" w:cs="Arial"/>
          <w:sz w:val="24"/>
          <w:szCs w:val="24"/>
        </w:rPr>
        <w:t>La propiedad bactericida de la nanofibra PCL/Ag la hace ideal para la aplicación como un apósito para recubrimiento de heridas susceptibles a infección.</w:t>
      </w:r>
      <w:r w:rsidRPr="0003794E">
        <w:rPr>
          <w:rFonts w:ascii="Arial" w:hAnsi="Arial" w:cs="Arial"/>
          <w:sz w:val="24"/>
          <w:szCs w:val="24"/>
        </w:rPr>
        <w:t xml:space="preserve"> </w:t>
      </w:r>
    </w:p>
    <w:p w14:paraId="28F9863C" w14:textId="77777777" w:rsidR="008761C1" w:rsidRDefault="008761C1" w:rsidP="0003794E">
      <w:pPr>
        <w:spacing w:after="120" w:line="360" w:lineRule="auto"/>
        <w:jc w:val="both"/>
        <w:rPr>
          <w:rFonts w:ascii="Arial" w:hAnsi="Arial" w:cs="Arial"/>
          <w:sz w:val="24"/>
          <w:szCs w:val="24"/>
        </w:rPr>
      </w:pPr>
    </w:p>
    <w:p w14:paraId="57861790" w14:textId="108C6E35" w:rsidR="006B7EC1" w:rsidRDefault="006B7EC1" w:rsidP="0003794E">
      <w:pPr>
        <w:spacing w:after="120" w:line="360" w:lineRule="auto"/>
        <w:jc w:val="both"/>
        <w:rPr>
          <w:rFonts w:ascii="Arial" w:hAnsi="Arial" w:cs="Arial"/>
          <w:sz w:val="24"/>
          <w:szCs w:val="24"/>
        </w:rPr>
      </w:pPr>
      <w:r w:rsidRPr="008761C1">
        <w:rPr>
          <w:rFonts w:ascii="Arial" w:hAnsi="Arial" w:cs="Arial"/>
          <w:b/>
          <w:bCs/>
          <w:sz w:val="24"/>
          <w:szCs w:val="24"/>
        </w:rPr>
        <w:t>Palabras clave</w:t>
      </w:r>
      <w:r w:rsidR="0086784C" w:rsidRPr="008761C1">
        <w:rPr>
          <w:rFonts w:ascii="Arial" w:hAnsi="Arial" w:cs="Arial"/>
          <w:b/>
          <w:bCs/>
          <w:sz w:val="24"/>
          <w:szCs w:val="24"/>
        </w:rPr>
        <w:t>:</w:t>
      </w:r>
      <w:r w:rsidR="0086784C">
        <w:rPr>
          <w:rFonts w:ascii="Arial" w:hAnsi="Arial" w:cs="Arial"/>
          <w:sz w:val="24"/>
          <w:szCs w:val="24"/>
        </w:rPr>
        <w:t xml:space="preserve"> </w:t>
      </w:r>
      <w:r w:rsidR="009113E1">
        <w:rPr>
          <w:rFonts w:ascii="Arial" w:hAnsi="Arial" w:cs="Arial"/>
          <w:sz w:val="24"/>
          <w:szCs w:val="24"/>
        </w:rPr>
        <w:t>Nanopartículas, Electrohilado, Nanofibras, PCL</w:t>
      </w:r>
    </w:p>
    <w:p w14:paraId="4E42C2EF" w14:textId="77777777" w:rsidR="002776E1" w:rsidRDefault="002776E1">
      <w:pPr>
        <w:rPr>
          <w:rFonts w:ascii="Arial" w:hAnsi="Arial" w:cs="Arial"/>
          <w:sz w:val="24"/>
          <w:szCs w:val="24"/>
        </w:rPr>
      </w:pPr>
      <w:r>
        <w:rPr>
          <w:rFonts w:ascii="Arial" w:hAnsi="Arial" w:cs="Arial"/>
          <w:sz w:val="24"/>
          <w:szCs w:val="24"/>
        </w:rPr>
        <w:br w:type="page"/>
      </w:r>
    </w:p>
    <w:p w14:paraId="723D1992" w14:textId="77777777" w:rsidR="006B4F3E" w:rsidRPr="008761C1" w:rsidRDefault="006B4F3E" w:rsidP="0003794E">
      <w:pPr>
        <w:spacing w:line="360" w:lineRule="auto"/>
        <w:jc w:val="both"/>
        <w:rPr>
          <w:rFonts w:ascii="Arial" w:hAnsi="Arial" w:cs="Arial"/>
          <w:b/>
          <w:bCs/>
          <w:sz w:val="24"/>
          <w:szCs w:val="24"/>
        </w:rPr>
      </w:pPr>
      <w:r w:rsidRPr="008761C1">
        <w:rPr>
          <w:rFonts w:ascii="Arial" w:hAnsi="Arial" w:cs="Arial"/>
          <w:b/>
          <w:bCs/>
          <w:sz w:val="24"/>
          <w:szCs w:val="24"/>
        </w:rPr>
        <w:lastRenderedPageBreak/>
        <w:t>INTRODUCCIÓN</w:t>
      </w:r>
    </w:p>
    <w:p w14:paraId="2D0AF292" w14:textId="77777777" w:rsidR="000E633D" w:rsidRPr="00392104" w:rsidRDefault="000E633D" w:rsidP="000E633D">
      <w:pPr>
        <w:spacing w:after="120" w:line="360" w:lineRule="auto"/>
        <w:jc w:val="both"/>
        <w:rPr>
          <w:rFonts w:ascii="Arial" w:hAnsi="Arial" w:cs="Arial"/>
          <w:sz w:val="24"/>
          <w:szCs w:val="24"/>
        </w:rPr>
      </w:pPr>
      <w:r w:rsidRPr="000E633D">
        <w:rPr>
          <w:rFonts w:ascii="Arial" w:hAnsi="Arial" w:cs="Arial"/>
          <w:sz w:val="24"/>
          <w:szCs w:val="24"/>
        </w:rPr>
        <w:t>En la actualidad las bacterias han adquirido la capacidad de adaptarse a condiciones de estrés, desarrollando diversos mecanismos de resistencia por el uso inadecuado y desmedido de fármacos; lo cual convierte a las bacterias resistentes en un grave problema de salud por lo que surge la necesidad de desarrollar nuevos materiales con propiedades bactericidas (Fernández, 2003). La nanotecnología se ha enfocado en el desarrollo de nanomateriales con la capacidad de interactuar con entidades biológicas que son patógenas para el ser humano con la finalidad de evitar que siga en desarrollo la capacidad de resistencia a antibióticos. La síntesis de nanopartículas metálicas ha demostrado propiedades bactericidas en metales como el oro, el cobre y la plata (Quispe, 2010).</w:t>
      </w:r>
    </w:p>
    <w:p w14:paraId="1808A0AF" w14:textId="022E9C29" w:rsidR="000E633D" w:rsidRPr="00392104" w:rsidRDefault="000E633D" w:rsidP="000E633D">
      <w:pPr>
        <w:spacing w:after="120" w:line="360" w:lineRule="auto"/>
        <w:jc w:val="both"/>
        <w:rPr>
          <w:rFonts w:ascii="Arial" w:hAnsi="Arial" w:cs="Arial"/>
          <w:sz w:val="24"/>
          <w:szCs w:val="24"/>
        </w:rPr>
      </w:pPr>
      <w:r w:rsidRPr="000529FD">
        <w:rPr>
          <w:rFonts w:ascii="Arial" w:hAnsi="Arial" w:cs="Arial"/>
          <w:sz w:val="24"/>
          <w:szCs w:val="24"/>
        </w:rPr>
        <w:t xml:space="preserve">La actividad antimicrobiana de la plata se ha descrito desde la antigüedad y actualmente la plata a escala nanométrica han demostrado ser un poderoso agente bactericida. Las nanopartículas tienen la capacidad de atravesar las membranas biológicas, se emplean en el control de bacterias en trabajos dentales, catéteres, quemaduras y heridas (Espinoza </w:t>
      </w:r>
      <w:r w:rsidRPr="000529FD">
        <w:rPr>
          <w:rFonts w:ascii="Arial" w:hAnsi="Arial" w:cs="Arial"/>
          <w:i/>
          <w:sz w:val="24"/>
          <w:szCs w:val="24"/>
        </w:rPr>
        <w:t>et al.</w:t>
      </w:r>
      <w:r w:rsidRPr="000529FD">
        <w:rPr>
          <w:rFonts w:ascii="Arial" w:hAnsi="Arial" w:cs="Arial"/>
          <w:sz w:val="24"/>
          <w:szCs w:val="24"/>
        </w:rPr>
        <w:t>, 2009). Sin embargo, las nanopartículas de plata resultan ser tóxicas para las células humanas a concentraciones superiores al 1% y las cuales en tratamientos prolo</w:t>
      </w:r>
      <w:r w:rsidR="000529FD" w:rsidRPr="000529FD">
        <w:rPr>
          <w:rFonts w:ascii="Arial" w:hAnsi="Arial" w:cs="Arial"/>
          <w:sz w:val="24"/>
          <w:szCs w:val="24"/>
        </w:rPr>
        <w:t>n</w:t>
      </w:r>
      <w:r w:rsidRPr="000529FD">
        <w:rPr>
          <w:rFonts w:ascii="Arial" w:hAnsi="Arial" w:cs="Arial"/>
          <w:sz w:val="24"/>
          <w:szCs w:val="24"/>
        </w:rPr>
        <w:t xml:space="preserve">gados provocan la acumulación de plata en el organismo originando la enfermedad llamada argiria (coloración de piel azulada). Por lo cual es necesario </w:t>
      </w:r>
      <w:r w:rsidR="008761C1">
        <w:rPr>
          <w:rFonts w:ascii="Arial" w:hAnsi="Arial" w:cs="Arial"/>
          <w:sz w:val="24"/>
          <w:szCs w:val="24"/>
        </w:rPr>
        <w:t>aplicar</w:t>
      </w:r>
      <w:r w:rsidRPr="000529FD">
        <w:rPr>
          <w:rFonts w:ascii="Arial" w:hAnsi="Arial" w:cs="Arial"/>
          <w:sz w:val="24"/>
          <w:szCs w:val="24"/>
        </w:rPr>
        <w:t xml:space="preserve"> </w:t>
      </w:r>
      <w:r w:rsidR="000529FD" w:rsidRPr="000529FD">
        <w:rPr>
          <w:rFonts w:ascii="Arial" w:hAnsi="Arial" w:cs="Arial"/>
          <w:sz w:val="24"/>
          <w:szCs w:val="24"/>
        </w:rPr>
        <w:t>N</w:t>
      </w:r>
      <w:r w:rsidR="008761C1">
        <w:rPr>
          <w:rFonts w:ascii="Arial" w:hAnsi="Arial" w:cs="Arial"/>
          <w:sz w:val="24"/>
          <w:szCs w:val="24"/>
        </w:rPr>
        <w:t>P</w:t>
      </w:r>
      <w:r w:rsidR="000529FD" w:rsidRPr="000529FD">
        <w:rPr>
          <w:rFonts w:ascii="Arial" w:hAnsi="Arial" w:cs="Arial"/>
          <w:sz w:val="24"/>
          <w:szCs w:val="24"/>
        </w:rPr>
        <w:t>sAg</w:t>
      </w:r>
      <w:r w:rsidRPr="000529FD">
        <w:rPr>
          <w:rFonts w:ascii="Arial" w:hAnsi="Arial" w:cs="Arial"/>
          <w:sz w:val="24"/>
          <w:szCs w:val="24"/>
        </w:rPr>
        <w:t xml:space="preserve"> </w:t>
      </w:r>
      <w:r w:rsidR="000529FD" w:rsidRPr="000529FD">
        <w:rPr>
          <w:rFonts w:ascii="Arial" w:hAnsi="Arial" w:cs="Arial"/>
          <w:sz w:val="24"/>
          <w:szCs w:val="24"/>
        </w:rPr>
        <w:t xml:space="preserve">a </w:t>
      </w:r>
      <w:r w:rsidRPr="000529FD">
        <w:rPr>
          <w:rFonts w:ascii="Arial" w:hAnsi="Arial" w:cs="Arial"/>
          <w:sz w:val="24"/>
          <w:szCs w:val="24"/>
        </w:rPr>
        <w:t>bajas concentraciones con el fin de obtener un efecto bactericida sin llegar a ser citotóxico</w:t>
      </w:r>
      <w:r w:rsidRPr="000529FD">
        <w:rPr>
          <w:rFonts w:ascii="Arial" w:hAnsi="Arial" w:cs="Arial"/>
          <w:color w:val="222222"/>
          <w:sz w:val="24"/>
          <w:szCs w:val="24"/>
          <w:shd w:val="clear" w:color="auto" w:fill="FFFFFF"/>
        </w:rPr>
        <w:t xml:space="preserve"> en células humanas (Panáček </w:t>
      </w:r>
      <w:r w:rsidRPr="000529FD">
        <w:rPr>
          <w:rFonts w:ascii="Arial" w:hAnsi="Arial" w:cs="Arial"/>
          <w:i/>
          <w:color w:val="222222"/>
          <w:sz w:val="24"/>
          <w:szCs w:val="24"/>
          <w:shd w:val="clear" w:color="auto" w:fill="FFFFFF"/>
        </w:rPr>
        <w:t>et al.</w:t>
      </w:r>
      <w:r w:rsidRPr="000529FD">
        <w:rPr>
          <w:rFonts w:ascii="Arial" w:hAnsi="Arial" w:cs="Arial"/>
          <w:color w:val="222222"/>
          <w:sz w:val="24"/>
          <w:szCs w:val="24"/>
          <w:shd w:val="clear" w:color="auto" w:fill="FFFFFF"/>
        </w:rPr>
        <w:t>, 2006).</w:t>
      </w:r>
    </w:p>
    <w:p w14:paraId="1E0924A8" w14:textId="77777777" w:rsidR="002776E1" w:rsidRPr="0003794E" w:rsidRDefault="000E633D" w:rsidP="000529FD">
      <w:pPr>
        <w:spacing w:after="120" w:line="360" w:lineRule="auto"/>
        <w:jc w:val="both"/>
        <w:rPr>
          <w:rFonts w:ascii="Arial" w:hAnsi="Arial" w:cs="Arial"/>
          <w:sz w:val="24"/>
          <w:szCs w:val="24"/>
        </w:rPr>
      </w:pPr>
      <w:r w:rsidRPr="001172F7">
        <w:rPr>
          <w:rFonts w:ascii="Arial" w:hAnsi="Arial" w:cs="Arial"/>
          <w:sz w:val="24"/>
          <w:szCs w:val="24"/>
        </w:rPr>
        <w:t>La administración de nanopartículas de plata como tratamiento bactericida necesita un vehículo; las matrices poliméricas son los materiales más ampliamente usados para este fin, la unión de la matriz polimérica con las nanopartículas metálicas se ha demostrado mejorando las propiedades físicas, químicas y mecánicas de los polímeros, así como las propiedades bactericidas de las nanopartículas.</w:t>
      </w:r>
      <w:r w:rsidR="000529FD" w:rsidRPr="001172F7">
        <w:rPr>
          <w:rFonts w:ascii="Arial" w:hAnsi="Arial" w:cs="Arial"/>
          <w:sz w:val="24"/>
          <w:szCs w:val="24"/>
        </w:rPr>
        <w:t xml:space="preserve"> </w:t>
      </w:r>
      <w:r w:rsidRPr="001172F7">
        <w:rPr>
          <w:rFonts w:ascii="Arial" w:hAnsi="Arial" w:cs="Arial"/>
          <w:sz w:val="24"/>
          <w:szCs w:val="24"/>
        </w:rPr>
        <w:t>Es posible combinar las nanopartículas metálicas con polímeros por medio de la técnica de electrohilado, con la cual se obtienen fibras a escala nanométrica</w:t>
      </w:r>
      <w:r w:rsidR="000529FD" w:rsidRPr="001172F7">
        <w:rPr>
          <w:rFonts w:ascii="Arial" w:hAnsi="Arial" w:cs="Arial"/>
          <w:sz w:val="24"/>
          <w:szCs w:val="24"/>
        </w:rPr>
        <w:t xml:space="preserve">, </w:t>
      </w:r>
      <w:r w:rsidRPr="001172F7">
        <w:rPr>
          <w:rFonts w:ascii="Arial" w:hAnsi="Arial" w:cs="Arial"/>
          <w:sz w:val="24"/>
          <w:szCs w:val="24"/>
        </w:rPr>
        <w:t xml:space="preserve">en forma de membranas para su aplicación como apósitos biológicos para la regeneración de </w:t>
      </w:r>
      <w:r w:rsidRPr="001172F7">
        <w:rPr>
          <w:rFonts w:ascii="Arial" w:hAnsi="Arial" w:cs="Arial"/>
          <w:sz w:val="24"/>
          <w:szCs w:val="24"/>
        </w:rPr>
        <w:lastRenderedPageBreak/>
        <w:t>tejidos, remediación ambiental y tratamiento de aguas. Por lo que en la presente investigación se llevó acabo la síntesis de nanopartículas de plata incorporadas en fibras de poli-épsilon-caprolactona (PCL) por ser un polímero utilizado ampliamente en el área biomédica en (</w:t>
      </w:r>
      <w:r w:rsidRPr="001172F7">
        <w:rPr>
          <w:rFonts w:ascii="Arial" w:hAnsi="Arial" w:cs="Arial"/>
          <w:color w:val="222222"/>
          <w:sz w:val="24"/>
          <w:szCs w:val="20"/>
          <w:shd w:val="clear" w:color="auto" w:fill="FFFFFF"/>
        </w:rPr>
        <w:t xml:space="preserve">Nirmala </w:t>
      </w:r>
      <w:r w:rsidRPr="001172F7">
        <w:rPr>
          <w:rFonts w:ascii="Arial" w:hAnsi="Arial" w:cs="Arial"/>
          <w:i/>
          <w:color w:val="222222"/>
          <w:sz w:val="24"/>
          <w:szCs w:val="20"/>
          <w:shd w:val="clear" w:color="auto" w:fill="FFFFFF"/>
        </w:rPr>
        <w:t>et al</w:t>
      </w:r>
      <w:r w:rsidRPr="001172F7">
        <w:rPr>
          <w:rFonts w:ascii="Arial" w:hAnsi="Arial" w:cs="Arial"/>
          <w:color w:val="222222"/>
          <w:sz w:val="24"/>
          <w:szCs w:val="20"/>
          <w:shd w:val="clear" w:color="auto" w:fill="FFFFFF"/>
        </w:rPr>
        <w:t>., 2012).</w:t>
      </w:r>
    </w:p>
    <w:p w14:paraId="5FCFF4A8" w14:textId="77777777" w:rsidR="006B4F3E" w:rsidRPr="008761C1" w:rsidRDefault="006B4F3E" w:rsidP="0003794E">
      <w:pPr>
        <w:spacing w:line="360" w:lineRule="auto"/>
        <w:jc w:val="both"/>
        <w:rPr>
          <w:rFonts w:ascii="Arial" w:hAnsi="Arial" w:cs="Arial"/>
          <w:b/>
          <w:bCs/>
          <w:sz w:val="24"/>
          <w:szCs w:val="24"/>
        </w:rPr>
      </w:pPr>
      <w:r w:rsidRPr="008761C1">
        <w:rPr>
          <w:rFonts w:ascii="Arial" w:hAnsi="Arial" w:cs="Arial"/>
          <w:b/>
          <w:bCs/>
          <w:sz w:val="24"/>
          <w:szCs w:val="24"/>
        </w:rPr>
        <w:t>JUSTIFICACIÓN</w:t>
      </w:r>
    </w:p>
    <w:p w14:paraId="47E9B0A4" w14:textId="77777777" w:rsidR="007709DE" w:rsidRPr="00965127" w:rsidRDefault="007709DE" w:rsidP="007709DE">
      <w:pPr>
        <w:spacing w:after="120" w:line="360" w:lineRule="auto"/>
        <w:jc w:val="both"/>
        <w:rPr>
          <w:rFonts w:ascii="Arial" w:hAnsi="Arial" w:cs="Arial"/>
          <w:sz w:val="24"/>
          <w:szCs w:val="24"/>
        </w:rPr>
      </w:pPr>
      <w:r w:rsidRPr="00965127">
        <w:rPr>
          <w:rFonts w:ascii="Arial" w:hAnsi="Arial" w:cs="Arial"/>
          <w:sz w:val="24"/>
          <w:szCs w:val="24"/>
        </w:rPr>
        <w:t xml:space="preserve">Estudios demuestran que la plata ha resultado ser un poderoso agente antibacteriano y apoyan la idea de que partículas de plata entre 5 y 20 nanómetros de diámetro liberan iones los cuales atraviesan la membrana de la bacteria, generando poros en su estructura y esto provoca su muerte (Guthrie </w:t>
      </w:r>
      <w:r w:rsidRPr="00965127">
        <w:rPr>
          <w:rFonts w:ascii="Arial" w:hAnsi="Arial" w:cs="Arial"/>
          <w:i/>
          <w:sz w:val="24"/>
          <w:szCs w:val="24"/>
        </w:rPr>
        <w:t>et al.</w:t>
      </w:r>
      <w:r w:rsidRPr="00965127">
        <w:rPr>
          <w:rFonts w:ascii="Arial" w:hAnsi="Arial" w:cs="Arial"/>
          <w:sz w:val="24"/>
          <w:szCs w:val="24"/>
        </w:rPr>
        <w:t xml:space="preserve">, 2012; Morones </w:t>
      </w:r>
      <w:r w:rsidRPr="00965127">
        <w:rPr>
          <w:rFonts w:ascii="Arial" w:hAnsi="Arial" w:cs="Arial"/>
          <w:i/>
          <w:sz w:val="24"/>
          <w:szCs w:val="24"/>
        </w:rPr>
        <w:t>et al</w:t>
      </w:r>
      <w:r w:rsidRPr="00965127">
        <w:rPr>
          <w:rFonts w:ascii="Arial" w:hAnsi="Arial" w:cs="Arial"/>
          <w:sz w:val="24"/>
          <w:szCs w:val="24"/>
        </w:rPr>
        <w:t xml:space="preserve">., 2005; Sondi y Salopek, 2004). </w:t>
      </w:r>
    </w:p>
    <w:p w14:paraId="6B2A54B9" w14:textId="77777777" w:rsidR="000529FD" w:rsidRPr="0003794E" w:rsidRDefault="007709DE" w:rsidP="007709DE">
      <w:pPr>
        <w:spacing w:after="120" w:line="360" w:lineRule="auto"/>
        <w:jc w:val="both"/>
        <w:rPr>
          <w:rFonts w:ascii="Arial" w:hAnsi="Arial" w:cs="Arial"/>
          <w:sz w:val="24"/>
          <w:szCs w:val="24"/>
        </w:rPr>
      </w:pPr>
      <w:r w:rsidRPr="00965127">
        <w:rPr>
          <w:rFonts w:ascii="Arial" w:hAnsi="Arial" w:cs="Arial"/>
          <w:sz w:val="24"/>
          <w:szCs w:val="24"/>
        </w:rPr>
        <w:t xml:space="preserve">El inconveniente de la aplicación de plata en forma coloidal y </w:t>
      </w:r>
      <w:r w:rsidR="001172F7" w:rsidRPr="00965127">
        <w:rPr>
          <w:rFonts w:ascii="Arial" w:hAnsi="Arial" w:cs="Arial"/>
          <w:sz w:val="24"/>
          <w:szCs w:val="24"/>
        </w:rPr>
        <w:t>nanométrica</w:t>
      </w:r>
      <w:r w:rsidRPr="00965127">
        <w:rPr>
          <w:rFonts w:ascii="Arial" w:hAnsi="Arial" w:cs="Arial"/>
          <w:sz w:val="24"/>
          <w:szCs w:val="24"/>
        </w:rPr>
        <w:t xml:space="preserve"> es la formación de aglomeraciones que disminuye su efecto contra las bacterias (RatyakshiI y Chauhan, 2009; Lu y Chou, 2008; Martínez </w:t>
      </w:r>
      <w:r w:rsidRPr="00965127">
        <w:rPr>
          <w:rFonts w:ascii="Arial" w:hAnsi="Arial" w:cs="Arial"/>
          <w:i/>
          <w:sz w:val="24"/>
          <w:szCs w:val="24"/>
        </w:rPr>
        <w:t>et al.</w:t>
      </w:r>
      <w:r w:rsidRPr="00965127">
        <w:rPr>
          <w:rFonts w:ascii="Arial" w:hAnsi="Arial" w:cs="Arial"/>
          <w:sz w:val="24"/>
          <w:szCs w:val="24"/>
        </w:rPr>
        <w:t>, 2008). Por esto, se propone el desarrollo del polímero poli-</w:t>
      </w:r>
      <w:r w:rsidRPr="00965127">
        <w:rPr>
          <w:rFonts w:ascii="Arial" w:hAnsi="Arial" w:cs="Arial"/>
          <w:color w:val="252525"/>
          <w:sz w:val="24"/>
          <w:szCs w:val="24"/>
          <w:shd w:val="clear" w:color="auto" w:fill="FFFFFF"/>
        </w:rPr>
        <w:t>ε-</w:t>
      </w:r>
      <w:r w:rsidRPr="00965127">
        <w:rPr>
          <w:rFonts w:ascii="Arial" w:hAnsi="Arial" w:cs="Arial"/>
          <w:sz w:val="24"/>
          <w:szCs w:val="24"/>
        </w:rPr>
        <w:t>caprolactona en forma de membrana que pueda mantener estable el tamaño de las nanopartículas de plata para evitar la infección de heridas presentes en tejidos.</w:t>
      </w:r>
    </w:p>
    <w:p w14:paraId="5201328B" w14:textId="77777777" w:rsidR="006B4F3E" w:rsidRPr="008761C1" w:rsidRDefault="006B4F3E" w:rsidP="0003794E">
      <w:pPr>
        <w:spacing w:line="360" w:lineRule="auto"/>
        <w:jc w:val="both"/>
        <w:rPr>
          <w:rFonts w:ascii="Arial" w:hAnsi="Arial" w:cs="Arial"/>
          <w:b/>
          <w:bCs/>
          <w:sz w:val="24"/>
          <w:szCs w:val="24"/>
        </w:rPr>
      </w:pPr>
      <w:r w:rsidRPr="008761C1">
        <w:rPr>
          <w:rFonts w:ascii="Arial" w:hAnsi="Arial" w:cs="Arial"/>
          <w:b/>
          <w:bCs/>
          <w:sz w:val="24"/>
          <w:szCs w:val="24"/>
        </w:rPr>
        <w:t>METODOLOGÍA</w:t>
      </w:r>
    </w:p>
    <w:p w14:paraId="12FCE9B9" w14:textId="3984FB64" w:rsidR="00924B43" w:rsidRDefault="007A705E" w:rsidP="00A41D4B">
      <w:pPr>
        <w:spacing w:before="240" w:after="240" w:line="360" w:lineRule="auto"/>
        <w:jc w:val="both"/>
        <w:rPr>
          <w:rFonts w:ascii="Arial" w:hAnsi="Arial" w:cs="Arial"/>
          <w:sz w:val="24"/>
          <w:szCs w:val="24"/>
        </w:rPr>
      </w:pPr>
      <w:r w:rsidRPr="001172F7">
        <w:rPr>
          <w:rFonts w:ascii="Arial" w:hAnsi="Arial" w:cs="Arial"/>
          <w:b/>
          <w:sz w:val="24"/>
          <w:szCs w:val="24"/>
        </w:rPr>
        <w:t>Síntesis de Nanopartículas de plata (NpsAg)</w:t>
      </w:r>
      <w:r w:rsidR="008B6251">
        <w:rPr>
          <w:rFonts w:ascii="Arial" w:hAnsi="Arial" w:cs="Arial"/>
          <w:b/>
          <w:sz w:val="24"/>
          <w:szCs w:val="24"/>
        </w:rPr>
        <w:t xml:space="preserve">: </w:t>
      </w:r>
      <w:r w:rsidRPr="001172F7">
        <w:rPr>
          <w:rFonts w:ascii="Arial" w:hAnsi="Arial" w:cs="Arial"/>
          <w:sz w:val="24"/>
          <w:szCs w:val="24"/>
        </w:rPr>
        <w:t>Se prepararon 5 soluciones de 10 mL con relación de 7:3 de N,N-dimetilformamida (DMF) y tetrahidrofurano (THF) respectivamente, cada solución se vertió en un vial color ámbar de 20 mL y se cubrió con papel aluminio.</w:t>
      </w:r>
      <w:r w:rsidR="00924B43">
        <w:rPr>
          <w:rFonts w:ascii="Arial" w:hAnsi="Arial" w:cs="Arial"/>
          <w:sz w:val="24"/>
          <w:szCs w:val="24"/>
        </w:rPr>
        <w:t xml:space="preserve"> </w:t>
      </w:r>
      <w:r w:rsidRPr="001172F7">
        <w:rPr>
          <w:rFonts w:ascii="Arial" w:hAnsi="Arial" w:cs="Arial"/>
          <w:sz w:val="24"/>
          <w:szCs w:val="24"/>
        </w:rPr>
        <w:t>Las distintas masas se adicionaron a los 10 mL de las soluciones de THF y DMF, obteniendo concentraciones de 12.5 mM, 25 mM, 50 mM y 100 mM. Una de las soluciones originales se apartó sin nitrato de plata para usarla como control. Cada solución se mantuvo bajo agitación en un Vórtex durante 3 minutos hasta observar un cambio de coloración a amarillo pálido, lo cual indica la presencia de N</w:t>
      </w:r>
      <w:r w:rsidR="008761C1">
        <w:rPr>
          <w:rFonts w:ascii="Arial" w:hAnsi="Arial" w:cs="Arial"/>
          <w:sz w:val="24"/>
          <w:szCs w:val="24"/>
        </w:rPr>
        <w:t>P</w:t>
      </w:r>
      <w:r w:rsidRPr="001172F7">
        <w:rPr>
          <w:rFonts w:ascii="Arial" w:hAnsi="Arial" w:cs="Arial"/>
          <w:sz w:val="24"/>
          <w:szCs w:val="24"/>
        </w:rPr>
        <w:t>sAg. Con una pipeta volumétrica se tomaron 3 mL de cada una de las soluciones con N</w:t>
      </w:r>
      <w:r w:rsidR="008761C1">
        <w:rPr>
          <w:rFonts w:ascii="Arial" w:hAnsi="Arial" w:cs="Arial"/>
          <w:sz w:val="24"/>
          <w:szCs w:val="24"/>
        </w:rPr>
        <w:t>P</w:t>
      </w:r>
      <w:r w:rsidRPr="001172F7">
        <w:rPr>
          <w:rFonts w:ascii="Arial" w:hAnsi="Arial" w:cs="Arial"/>
          <w:sz w:val="24"/>
          <w:szCs w:val="24"/>
        </w:rPr>
        <w:t xml:space="preserve">sAg y se depositaron en una celdilla de cuarzo de doble ventana la cual se introdujo en el equipo analizador de nanopartículas para medir el tamaño de la partícula y la frecuencia del tamaño, y después se depositaron en un </w:t>
      </w:r>
      <w:r w:rsidRPr="001172F7">
        <w:rPr>
          <w:rFonts w:ascii="Arial" w:hAnsi="Arial" w:cs="Arial"/>
          <w:sz w:val="24"/>
          <w:szCs w:val="24"/>
        </w:rPr>
        <w:lastRenderedPageBreak/>
        <w:t xml:space="preserve">espectrofotómetro de luz ultravioleta para determinar el rango de absorción de luz en las NpsAg. (Reyes, 2015 y Martínez 2008). </w:t>
      </w:r>
    </w:p>
    <w:p w14:paraId="700BDD07" w14:textId="6E51F8CB" w:rsidR="007A705E" w:rsidRPr="00197E55" w:rsidRDefault="007A705E" w:rsidP="00197E55">
      <w:pPr>
        <w:spacing w:before="240" w:after="240" w:line="360" w:lineRule="auto"/>
        <w:jc w:val="both"/>
        <w:rPr>
          <w:rFonts w:ascii="Arial" w:hAnsi="Arial" w:cs="Arial"/>
          <w:sz w:val="24"/>
          <w:szCs w:val="24"/>
        </w:rPr>
      </w:pPr>
      <w:r w:rsidRPr="001172F7">
        <w:rPr>
          <w:rFonts w:ascii="Arial" w:hAnsi="Arial" w:cs="Arial"/>
          <w:b/>
          <w:sz w:val="24"/>
          <w:szCs w:val="24"/>
        </w:rPr>
        <w:t xml:space="preserve">Fabricación </w:t>
      </w:r>
      <w:r w:rsidR="00197E55">
        <w:rPr>
          <w:rFonts w:ascii="Arial" w:hAnsi="Arial" w:cs="Arial"/>
          <w:b/>
          <w:sz w:val="24"/>
          <w:szCs w:val="24"/>
        </w:rPr>
        <w:t xml:space="preserve">y caracterización </w:t>
      </w:r>
      <w:r w:rsidRPr="001172F7">
        <w:rPr>
          <w:rFonts w:ascii="Arial" w:hAnsi="Arial" w:cs="Arial"/>
          <w:b/>
          <w:sz w:val="24"/>
          <w:szCs w:val="24"/>
        </w:rPr>
        <w:t>de fibras de PCL y PCL/Ag</w:t>
      </w:r>
      <w:r w:rsidR="008B6251">
        <w:rPr>
          <w:rFonts w:ascii="Arial" w:hAnsi="Arial" w:cs="Arial"/>
          <w:b/>
          <w:sz w:val="24"/>
          <w:szCs w:val="24"/>
        </w:rPr>
        <w:t xml:space="preserve">: </w:t>
      </w:r>
      <w:r w:rsidRPr="001172F7">
        <w:rPr>
          <w:rFonts w:ascii="Arial" w:hAnsi="Arial" w:cs="Arial"/>
          <w:sz w:val="24"/>
          <w:szCs w:val="24"/>
        </w:rPr>
        <w:t>En una balanza analítica se pesó 0.56 gramos del polímero poli-έ-caprolactona (PCL), la masa de PCL se adicionó a cada uno de los viales ámbar que contenían las nanopartículas. La solución de PCL y PCL/Ag se mantuvo en agitación en Vórtex durante una hora hasta la disolución completa del polímero. En una jeringa de vidrio se colocaron los 7 mL restantes de la solución de PCL/N</w:t>
      </w:r>
      <w:r w:rsidR="008761C1">
        <w:rPr>
          <w:rFonts w:ascii="Arial" w:hAnsi="Arial" w:cs="Arial"/>
          <w:sz w:val="24"/>
          <w:szCs w:val="24"/>
        </w:rPr>
        <w:t>P</w:t>
      </w:r>
      <w:r w:rsidRPr="001172F7">
        <w:rPr>
          <w:rFonts w:ascii="Arial" w:hAnsi="Arial" w:cs="Arial"/>
          <w:sz w:val="24"/>
          <w:szCs w:val="24"/>
        </w:rPr>
        <w:t>s</w:t>
      </w:r>
      <w:r w:rsidR="008761C1">
        <w:rPr>
          <w:rFonts w:ascii="Arial" w:hAnsi="Arial" w:cs="Arial"/>
          <w:sz w:val="24"/>
          <w:szCs w:val="24"/>
        </w:rPr>
        <w:t>Ag</w:t>
      </w:r>
      <w:r w:rsidRPr="001172F7">
        <w:rPr>
          <w:rFonts w:ascii="Arial" w:hAnsi="Arial" w:cs="Arial"/>
          <w:sz w:val="24"/>
          <w:szCs w:val="24"/>
        </w:rPr>
        <w:t>, se le acopló una aguja de 0.80 mm de diámetro, la jeringa cargada se colocó en la bomba inyectora</w:t>
      </w:r>
      <w:r w:rsidR="00D16A71">
        <w:rPr>
          <w:rFonts w:ascii="Arial" w:hAnsi="Arial" w:cs="Arial"/>
          <w:sz w:val="24"/>
          <w:szCs w:val="24"/>
        </w:rPr>
        <w:t xml:space="preserve">, </w:t>
      </w:r>
      <w:r w:rsidRPr="001172F7">
        <w:rPr>
          <w:rFonts w:ascii="Arial" w:hAnsi="Arial" w:cs="Arial"/>
          <w:sz w:val="24"/>
          <w:szCs w:val="24"/>
        </w:rPr>
        <w:t>la cual se programó con un flujo en un rango de 5-20 µL/min. En un colector rotatorio se colocó una hoja de aluminio</w:t>
      </w:r>
      <w:r w:rsidR="00D16A71">
        <w:rPr>
          <w:rFonts w:ascii="Arial" w:hAnsi="Arial" w:cs="Arial"/>
          <w:sz w:val="24"/>
          <w:szCs w:val="24"/>
        </w:rPr>
        <w:t xml:space="preserve">, </w:t>
      </w:r>
      <w:r w:rsidRPr="001172F7">
        <w:rPr>
          <w:rFonts w:ascii="Arial" w:hAnsi="Arial" w:cs="Arial"/>
          <w:sz w:val="24"/>
          <w:szCs w:val="24"/>
        </w:rPr>
        <w:t>la distancia entre el colector y la punta de la aguja fue de 10 cm. Finalmente, de una fuente de poder se colocó el polo positivo en la aguja y el polo negativo en el colector rotatorio, se administró un voltaje en un rango de 8-14 Kv (Reyes, 2015).</w:t>
      </w:r>
      <w:r w:rsidR="00197E55">
        <w:rPr>
          <w:rFonts w:ascii="Arial" w:hAnsi="Arial" w:cs="Arial"/>
          <w:sz w:val="24"/>
          <w:szCs w:val="24"/>
        </w:rPr>
        <w:t xml:space="preserve"> </w:t>
      </w:r>
      <w:r w:rsidRPr="007A705E">
        <w:rPr>
          <w:rFonts w:ascii="Arial" w:hAnsi="Arial" w:cs="Arial"/>
          <w:color w:val="000000"/>
          <w:shd w:val="clear" w:color="auto" w:fill="FFFFFF"/>
          <w:lang w:val="es-ES"/>
        </w:rPr>
        <w:t>Las fibras obtenidas mediante Electrohilado se caracterizaron mediante</w:t>
      </w:r>
      <w:r w:rsidRPr="007A705E">
        <w:rPr>
          <w:rFonts w:ascii="Arial" w:hAnsi="Arial" w:cs="Arial"/>
          <w:lang w:val="es-ES"/>
        </w:rPr>
        <w:t xml:space="preserve"> microscopía óptica, microscopía electrónica de barrido (MEB) y microscopía electrónica de transmisión (MET).</w:t>
      </w:r>
      <w:r>
        <w:rPr>
          <w:rFonts w:ascii="Arial" w:hAnsi="Arial" w:cs="Arial"/>
          <w:lang w:val="es-ES"/>
        </w:rPr>
        <w:t xml:space="preserve"> Para determinar el espectro infrarrojo de la fibra PCL y PCL/NpsAg, se cortó una muestra de cada fibra de 1 cm x 1 cm la cual se colocó en el equipo de Infrarrojo y se corrió la lectura.</w:t>
      </w:r>
    </w:p>
    <w:p w14:paraId="122B5453" w14:textId="77777777" w:rsidR="007A705E" w:rsidRPr="008B6251" w:rsidRDefault="007A705E" w:rsidP="008B6251">
      <w:pPr>
        <w:spacing w:before="240" w:after="240" w:line="360" w:lineRule="auto"/>
        <w:jc w:val="both"/>
        <w:rPr>
          <w:rFonts w:ascii="Arial" w:hAnsi="Arial" w:cs="Arial"/>
          <w:b/>
          <w:sz w:val="24"/>
          <w:szCs w:val="24"/>
        </w:rPr>
      </w:pPr>
      <w:r w:rsidRPr="007A705E">
        <w:rPr>
          <w:rFonts w:ascii="Arial" w:hAnsi="Arial" w:cs="Arial"/>
          <w:b/>
          <w:sz w:val="24"/>
          <w:szCs w:val="24"/>
        </w:rPr>
        <w:t>Evaluación de la actividad antimicrobiana</w:t>
      </w:r>
      <w:r w:rsidR="008B6251">
        <w:rPr>
          <w:rFonts w:ascii="Arial" w:hAnsi="Arial" w:cs="Arial"/>
          <w:b/>
          <w:sz w:val="24"/>
          <w:szCs w:val="24"/>
        </w:rPr>
        <w:t xml:space="preserve">: </w:t>
      </w:r>
      <w:r w:rsidRPr="007A705E">
        <w:rPr>
          <w:rFonts w:ascii="Arial" w:hAnsi="Arial" w:cs="Arial"/>
          <w:sz w:val="24"/>
          <w:szCs w:val="24"/>
        </w:rPr>
        <w:t xml:space="preserve">La actividad antimicrobiana de fibras de PCL y PCL/Ag se realizó utilizando el método de difusión en agar y turbidimetría. Las bacterias </w:t>
      </w:r>
      <w:r w:rsidRPr="007A705E">
        <w:rPr>
          <w:rFonts w:ascii="Arial" w:hAnsi="Arial" w:cs="Arial"/>
          <w:bCs/>
          <w:i/>
          <w:iCs/>
          <w:sz w:val="24"/>
          <w:szCs w:val="24"/>
          <w:shd w:val="clear" w:color="auto" w:fill="FFFFFF"/>
        </w:rPr>
        <w:t>Staphylococcus aureus</w:t>
      </w:r>
      <w:r w:rsidRPr="007A705E">
        <w:rPr>
          <w:rFonts w:ascii="Arial" w:hAnsi="Arial" w:cs="Arial"/>
          <w:bCs/>
          <w:i/>
          <w:iCs/>
          <w:color w:val="252525"/>
          <w:sz w:val="24"/>
          <w:szCs w:val="24"/>
          <w:shd w:val="clear" w:color="auto" w:fill="FFFFFF"/>
        </w:rPr>
        <w:t xml:space="preserve">, </w:t>
      </w:r>
      <w:r w:rsidRPr="007A705E">
        <w:rPr>
          <w:rFonts w:ascii="Arial" w:hAnsi="Arial" w:cs="Arial"/>
          <w:bCs/>
          <w:i/>
          <w:iCs/>
          <w:sz w:val="24"/>
          <w:szCs w:val="24"/>
          <w:shd w:val="clear" w:color="auto" w:fill="FFFFFF"/>
        </w:rPr>
        <w:t xml:space="preserve">Streptococcus mutans, </w:t>
      </w:r>
      <w:r w:rsidRPr="007A705E">
        <w:rPr>
          <w:rFonts w:ascii="Arial" w:hAnsi="Arial" w:cs="Arial"/>
          <w:bCs/>
          <w:i/>
          <w:sz w:val="24"/>
          <w:szCs w:val="24"/>
          <w:shd w:val="clear" w:color="auto" w:fill="FFFFFF"/>
        </w:rPr>
        <w:t>Bacillus subtilis</w:t>
      </w:r>
      <w:r w:rsidRPr="007A705E">
        <w:rPr>
          <w:rFonts w:ascii="Arial" w:hAnsi="Arial" w:cs="Arial"/>
          <w:bCs/>
          <w:sz w:val="24"/>
          <w:szCs w:val="24"/>
          <w:shd w:val="clear" w:color="auto" w:fill="FFFFFF"/>
        </w:rPr>
        <w:t xml:space="preserve">, </w:t>
      </w:r>
      <w:r w:rsidRPr="007A705E">
        <w:rPr>
          <w:rFonts w:ascii="Arial" w:hAnsi="Arial" w:cs="Arial"/>
          <w:bCs/>
          <w:i/>
          <w:iCs/>
          <w:sz w:val="24"/>
          <w:szCs w:val="24"/>
          <w:shd w:val="clear" w:color="auto" w:fill="FFFFFF"/>
        </w:rPr>
        <w:t>Pseudomonas aeruginosa, Escherichia coli y Klebsiella pneumoniae</w:t>
      </w:r>
      <w:r w:rsidRPr="007A705E">
        <w:rPr>
          <w:rFonts w:ascii="Arial" w:hAnsi="Arial" w:cs="Arial"/>
          <w:sz w:val="24"/>
          <w:szCs w:val="24"/>
        </w:rPr>
        <w:t xml:space="preserve"> se aislaron de los inóculos originales y en 6 cajas Petri con agar nutritivo, se sembraron por medio de estría cruzada y se incubaron en un cuarto a una temperatura de 37º C durante 24 horas. Transcurrido el tiempo de incubación, de cada bacteria se tomó una colonia y se inoculó en un tubo con 5 mL de caldo nutritivo, se incubó en un cuarto a una temperatura de 37º C durante 24 horas. Finalmente se midió la densidad óptica de cada bacteria inoculada a una longitud de onda de 520 nm en un espectrofotómetro. En base a la densidad óptica, se diluyó cada bacteria para ajustar la densidad óptica a 0.1 en la absorbancia en un volumen de 1 mL.</w:t>
      </w:r>
      <w:r>
        <w:rPr>
          <w:rFonts w:ascii="Arial" w:hAnsi="Arial" w:cs="Arial"/>
          <w:sz w:val="24"/>
          <w:szCs w:val="24"/>
        </w:rPr>
        <w:t xml:space="preserve"> </w:t>
      </w:r>
    </w:p>
    <w:p w14:paraId="234EB485" w14:textId="7A0D1061" w:rsidR="007A705E" w:rsidRPr="00733EB8" w:rsidRDefault="007A705E" w:rsidP="007A705E">
      <w:pPr>
        <w:spacing w:after="120" w:line="360" w:lineRule="auto"/>
        <w:jc w:val="both"/>
        <w:rPr>
          <w:rFonts w:ascii="Arial" w:hAnsi="Arial" w:cs="Arial"/>
          <w:b/>
          <w:sz w:val="24"/>
          <w:szCs w:val="24"/>
        </w:rPr>
      </w:pPr>
      <w:r w:rsidRPr="007A705E">
        <w:rPr>
          <w:rFonts w:ascii="Arial" w:hAnsi="Arial" w:cs="Arial"/>
          <w:b/>
          <w:sz w:val="24"/>
          <w:szCs w:val="24"/>
        </w:rPr>
        <w:lastRenderedPageBreak/>
        <w:t>Difusión en agar</w:t>
      </w:r>
      <w:r w:rsidR="008B6251">
        <w:rPr>
          <w:rFonts w:ascii="Arial" w:hAnsi="Arial" w:cs="Arial"/>
          <w:b/>
          <w:sz w:val="24"/>
          <w:szCs w:val="24"/>
        </w:rPr>
        <w:t xml:space="preserve">: </w:t>
      </w:r>
      <w:r w:rsidRPr="007A705E">
        <w:rPr>
          <w:rFonts w:ascii="Arial" w:hAnsi="Arial" w:cs="Arial"/>
          <w:sz w:val="24"/>
          <w:szCs w:val="24"/>
        </w:rPr>
        <w:t xml:space="preserve">Se preparó 1L de agar Mueller-Hinton, se agitó hasta la disolución completa del agar. Una vez disuelto, se colocó dentro de un microondas se calentó por 4 minutos para la clarificación del medio, finalmente se metió a esterilizar en una </w:t>
      </w:r>
      <w:r w:rsidR="00221988" w:rsidRPr="007A705E">
        <w:rPr>
          <w:rFonts w:ascii="Arial" w:hAnsi="Arial" w:cs="Arial"/>
          <w:sz w:val="24"/>
          <w:szCs w:val="24"/>
        </w:rPr>
        <w:t>autoclave</w:t>
      </w:r>
      <w:r w:rsidR="00221988">
        <w:rPr>
          <w:rFonts w:ascii="Arial" w:hAnsi="Arial" w:cs="Arial"/>
          <w:sz w:val="24"/>
          <w:szCs w:val="24"/>
        </w:rPr>
        <w:t>.</w:t>
      </w:r>
      <w:r w:rsidR="00221988" w:rsidRPr="007A705E">
        <w:rPr>
          <w:rFonts w:ascii="Arial" w:hAnsi="Arial" w:cs="Arial"/>
          <w:sz w:val="24"/>
          <w:szCs w:val="24"/>
        </w:rPr>
        <w:t xml:space="preserve"> Terminado</w:t>
      </w:r>
      <w:r w:rsidRPr="007A705E">
        <w:rPr>
          <w:rFonts w:ascii="Arial" w:hAnsi="Arial" w:cs="Arial"/>
          <w:sz w:val="24"/>
          <w:szCs w:val="24"/>
        </w:rPr>
        <w:t xml:space="preserve"> el tiempo de esterilización, en 48 cajas Petri se vertió 15 ml de agar Mueller-Hinton, en cada caja, fueron esterilizadas bajo una lámpara de luz Ultravioleta durante 15 minutos. Con un asa bacteriológica, se tomó un inóculo de cada bacteria y se sembró por estría cruzada en 18 cajas Petri con agar Mueller-Hinton, 3 cajas por cada bacteria.</w:t>
      </w:r>
      <w:r w:rsidR="00733EB8">
        <w:rPr>
          <w:rFonts w:ascii="Arial" w:hAnsi="Arial" w:cs="Arial"/>
          <w:sz w:val="24"/>
          <w:szCs w:val="24"/>
        </w:rPr>
        <w:t xml:space="preserve"> </w:t>
      </w:r>
      <w:r w:rsidRPr="007A705E">
        <w:rPr>
          <w:rFonts w:ascii="Arial" w:hAnsi="Arial" w:cs="Arial"/>
          <w:sz w:val="24"/>
          <w:szCs w:val="24"/>
        </w:rPr>
        <w:t>Se cortaron 3 sensidiscos de PCL-NpsAg con concentraciones de 0 Mm, 12.5 mM, 25 mM, 50 mM y 100 Mm, se colocaron en cada caja Petri para obtener triplicados de cada bacteria y de cada concentración de PCL-NpsAg obteniendo así 18 cajas Petri, las cajas se incubaron a 37º C durante 24 horas. Finalmente, transcurrido el tiempo, con un vernier se midió el halo generado por el sensidisco.</w:t>
      </w:r>
    </w:p>
    <w:p w14:paraId="1D7006EB" w14:textId="77777777" w:rsidR="009A23A9" w:rsidRPr="008B6251" w:rsidRDefault="007A705E" w:rsidP="007A705E">
      <w:pPr>
        <w:spacing w:after="120" w:line="360" w:lineRule="auto"/>
        <w:jc w:val="both"/>
        <w:rPr>
          <w:rFonts w:ascii="Arial" w:hAnsi="Arial" w:cs="Arial"/>
          <w:b/>
          <w:sz w:val="24"/>
          <w:szCs w:val="24"/>
        </w:rPr>
      </w:pPr>
      <w:r w:rsidRPr="007A705E">
        <w:rPr>
          <w:rFonts w:ascii="Arial" w:hAnsi="Arial" w:cs="Arial"/>
          <w:b/>
          <w:sz w:val="24"/>
          <w:szCs w:val="24"/>
        </w:rPr>
        <w:t>Método Espectrofotométrico</w:t>
      </w:r>
      <w:r w:rsidR="008B6251">
        <w:rPr>
          <w:rFonts w:ascii="Arial" w:hAnsi="Arial" w:cs="Arial"/>
          <w:b/>
          <w:sz w:val="24"/>
          <w:szCs w:val="24"/>
        </w:rPr>
        <w:t xml:space="preserve">: </w:t>
      </w:r>
      <w:r w:rsidRPr="007A705E">
        <w:rPr>
          <w:rFonts w:ascii="Arial" w:hAnsi="Arial" w:cs="Arial"/>
          <w:sz w:val="24"/>
          <w:szCs w:val="24"/>
        </w:rPr>
        <w:t xml:space="preserve">Para el ensayo por turbidimetría se preparó 1L de caldo nutritivo. En 108 tubos de ensayo de 10 x 10 mm se vertió un volumen de 3 mL por cada tubo, se taparon y se metieron a esterilizar en una autoclave, se seleccionó el ciclo de esterilización para líquidos durante 90 minutos. Terminado el tiempo de esterilización, con una micropipeta, se inoculó 100 µL de </w:t>
      </w:r>
      <w:r w:rsidRPr="007A705E">
        <w:rPr>
          <w:rFonts w:ascii="Arial" w:hAnsi="Arial" w:cs="Arial"/>
          <w:bCs/>
          <w:i/>
          <w:iCs/>
          <w:sz w:val="24"/>
          <w:szCs w:val="24"/>
          <w:shd w:val="clear" w:color="auto" w:fill="FFFFFF"/>
        </w:rPr>
        <w:t>Staphylococcus aureus</w:t>
      </w:r>
      <w:r w:rsidRPr="007A705E">
        <w:rPr>
          <w:rFonts w:ascii="Arial" w:hAnsi="Arial" w:cs="Arial"/>
          <w:bCs/>
          <w:i/>
          <w:iCs/>
          <w:color w:val="252525"/>
          <w:sz w:val="24"/>
          <w:szCs w:val="24"/>
          <w:shd w:val="clear" w:color="auto" w:fill="FFFFFF"/>
        </w:rPr>
        <w:t xml:space="preserve">, </w:t>
      </w:r>
      <w:r w:rsidRPr="007A705E">
        <w:rPr>
          <w:rFonts w:ascii="Arial" w:hAnsi="Arial" w:cs="Arial"/>
          <w:bCs/>
          <w:i/>
          <w:iCs/>
          <w:sz w:val="24"/>
          <w:szCs w:val="24"/>
          <w:shd w:val="clear" w:color="auto" w:fill="FFFFFF"/>
        </w:rPr>
        <w:t xml:space="preserve">Streptococcus mutans, </w:t>
      </w:r>
      <w:r w:rsidRPr="007A705E">
        <w:rPr>
          <w:rFonts w:ascii="Arial" w:hAnsi="Arial" w:cs="Arial"/>
          <w:bCs/>
          <w:i/>
          <w:sz w:val="24"/>
          <w:szCs w:val="24"/>
          <w:shd w:val="clear" w:color="auto" w:fill="FFFFFF"/>
        </w:rPr>
        <w:t>Bacillus subtilis</w:t>
      </w:r>
      <w:r w:rsidRPr="007A705E">
        <w:rPr>
          <w:rFonts w:ascii="Arial" w:hAnsi="Arial" w:cs="Arial"/>
          <w:bCs/>
          <w:sz w:val="24"/>
          <w:szCs w:val="24"/>
          <w:shd w:val="clear" w:color="auto" w:fill="FFFFFF"/>
        </w:rPr>
        <w:t xml:space="preserve">, </w:t>
      </w:r>
      <w:r w:rsidRPr="007A705E">
        <w:rPr>
          <w:rFonts w:ascii="Arial" w:hAnsi="Arial" w:cs="Arial"/>
          <w:bCs/>
          <w:i/>
          <w:iCs/>
          <w:sz w:val="24"/>
          <w:szCs w:val="24"/>
          <w:shd w:val="clear" w:color="auto" w:fill="FFFFFF"/>
        </w:rPr>
        <w:t>Pseudomonas aeruginosa, Escherichia coli y Klebsiella pneumoniae</w:t>
      </w:r>
      <w:r w:rsidRPr="007A705E">
        <w:rPr>
          <w:rFonts w:ascii="Arial" w:hAnsi="Arial" w:cs="Arial"/>
          <w:sz w:val="24"/>
          <w:szCs w:val="24"/>
        </w:rPr>
        <w:t xml:space="preserve"> obteniendo 15 tubos por bacteria, generado un total de 90 tubos. Se cortaron 3 sensidiscos de PCL/NpsAg </w:t>
      </w:r>
      <w:r w:rsidR="00733EB8">
        <w:rPr>
          <w:rFonts w:ascii="Arial" w:hAnsi="Arial" w:cs="Arial"/>
          <w:sz w:val="24"/>
          <w:szCs w:val="24"/>
        </w:rPr>
        <w:t>de</w:t>
      </w:r>
      <w:r w:rsidRPr="00733EB8">
        <w:rPr>
          <w:rFonts w:ascii="Arial" w:hAnsi="Arial" w:cs="Arial"/>
          <w:sz w:val="24"/>
          <w:szCs w:val="24"/>
        </w:rPr>
        <w:t xml:space="preserve"> concentraciones de 0 mM, 12.5 mM, 25 mM, 50 mM y 100 mM</w:t>
      </w:r>
      <w:r w:rsidRPr="007A705E">
        <w:rPr>
          <w:rFonts w:ascii="Arial" w:hAnsi="Arial" w:cs="Arial"/>
          <w:sz w:val="24"/>
          <w:szCs w:val="24"/>
        </w:rPr>
        <w:t xml:space="preserve"> y se colocó en cada tubo obteniendo 3 tubos por cada concentración generando 15 tubos por cada bacteria, se incubaron a 37º C durante 24 horas. Transcurrido el tiempo, con espectrofotómetro a una longitud de onda de 520 nm se midió la densidad óptica de los 90 tubos.</w:t>
      </w:r>
    </w:p>
    <w:p w14:paraId="6DC62C7A" w14:textId="257F3BB6" w:rsidR="006B4F3E" w:rsidRPr="00197E55" w:rsidRDefault="006B4F3E" w:rsidP="0003794E">
      <w:pPr>
        <w:spacing w:line="360" w:lineRule="auto"/>
        <w:jc w:val="both"/>
        <w:rPr>
          <w:rFonts w:ascii="Arial" w:hAnsi="Arial" w:cs="Arial"/>
          <w:b/>
          <w:bCs/>
          <w:sz w:val="24"/>
          <w:szCs w:val="24"/>
        </w:rPr>
      </w:pPr>
      <w:r w:rsidRPr="00197E55">
        <w:rPr>
          <w:rFonts w:ascii="Arial" w:hAnsi="Arial" w:cs="Arial"/>
          <w:b/>
          <w:bCs/>
          <w:sz w:val="24"/>
          <w:szCs w:val="24"/>
        </w:rPr>
        <w:t>RESULTADOS</w:t>
      </w:r>
    </w:p>
    <w:p w14:paraId="66A52C9E" w14:textId="77777777" w:rsidR="001172F7" w:rsidRDefault="001172F7" w:rsidP="0003794E">
      <w:pPr>
        <w:spacing w:line="360" w:lineRule="auto"/>
        <w:jc w:val="both"/>
        <w:rPr>
          <w:rFonts w:ascii="Arial" w:hAnsi="Arial" w:cs="Arial"/>
          <w:b/>
          <w:sz w:val="24"/>
          <w:szCs w:val="24"/>
        </w:rPr>
      </w:pPr>
      <w:r w:rsidRPr="004560FE">
        <w:rPr>
          <w:rFonts w:ascii="Arial" w:hAnsi="Arial" w:cs="Arial"/>
          <w:b/>
          <w:sz w:val="24"/>
          <w:szCs w:val="24"/>
        </w:rPr>
        <w:t>Síntesis y caracterizac</w:t>
      </w:r>
      <w:r>
        <w:rPr>
          <w:rFonts w:ascii="Arial" w:hAnsi="Arial" w:cs="Arial"/>
          <w:b/>
          <w:sz w:val="24"/>
          <w:szCs w:val="24"/>
        </w:rPr>
        <w:t>ión de NpsAg</w:t>
      </w:r>
    </w:p>
    <w:p w14:paraId="69ADA39B" w14:textId="77777777" w:rsidR="001172F7" w:rsidRDefault="001172F7" w:rsidP="001172F7">
      <w:pPr>
        <w:spacing w:after="120" w:line="360" w:lineRule="auto"/>
        <w:jc w:val="both"/>
        <w:rPr>
          <w:rFonts w:ascii="Arial" w:hAnsi="Arial" w:cs="Arial"/>
          <w:sz w:val="24"/>
          <w:szCs w:val="24"/>
        </w:rPr>
      </w:pPr>
      <w:r w:rsidRPr="004560FE">
        <w:rPr>
          <w:rFonts w:ascii="Arial" w:hAnsi="Arial" w:cs="Arial"/>
          <w:sz w:val="24"/>
          <w:szCs w:val="24"/>
        </w:rPr>
        <w:t>La sín</w:t>
      </w:r>
      <w:r>
        <w:rPr>
          <w:rFonts w:ascii="Arial" w:hAnsi="Arial" w:cs="Arial"/>
          <w:sz w:val="24"/>
          <w:szCs w:val="24"/>
        </w:rPr>
        <w:t>tesis de NpsAg a partir de la</w:t>
      </w:r>
      <w:r w:rsidRPr="004560FE">
        <w:rPr>
          <w:rFonts w:ascii="Arial" w:hAnsi="Arial" w:cs="Arial"/>
          <w:sz w:val="24"/>
          <w:szCs w:val="24"/>
        </w:rPr>
        <w:t xml:space="preserve"> sal</w:t>
      </w:r>
      <w:r>
        <w:rPr>
          <w:rFonts w:ascii="Arial" w:hAnsi="Arial" w:cs="Arial"/>
          <w:sz w:val="24"/>
          <w:szCs w:val="24"/>
        </w:rPr>
        <w:t xml:space="preserve"> nitrato</w:t>
      </w:r>
      <w:r w:rsidRPr="004560FE">
        <w:rPr>
          <w:rFonts w:ascii="Arial" w:hAnsi="Arial" w:cs="Arial"/>
          <w:sz w:val="24"/>
          <w:szCs w:val="24"/>
        </w:rPr>
        <w:t xml:space="preserve"> de plata </w:t>
      </w:r>
      <w:r w:rsidRPr="00A85373">
        <w:rPr>
          <w:rFonts w:ascii="Arial" w:hAnsi="Arial" w:cs="Arial"/>
          <w:sz w:val="24"/>
          <w:szCs w:val="24"/>
        </w:rPr>
        <w:t>(AgNO</w:t>
      </w:r>
      <w:r w:rsidRPr="00A85373">
        <w:rPr>
          <w:rFonts w:ascii="Arial" w:hAnsi="Arial" w:cs="Arial"/>
          <w:sz w:val="24"/>
          <w:szCs w:val="24"/>
          <w:vertAlign w:val="subscript"/>
        </w:rPr>
        <w:t>3</w:t>
      </w:r>
      <w:r w:rsidRPr="00A85373">
        <w:rPr>
          <w:rFonts w:ascii="Arial" w:hAnsi="Arial" w:cs="Arial"/>
          <w:sz w:val="24"/>
          <w:szCs w:val="24"/>
        </w:rPr>
        <w:t>)</w:t>
      </w:r>
      <w:r w:rsidRPr="004560FE">
        <w:rPr>
          <w:rFonts w:ascii="Arial" w:hAnsi="Arial" w:cs="Arial"/>
          <w:sz w:val="24"/>
          <w:szCs w:val="24"/>
        </w:rPr>
        <w:t xml:space="preserve"> resultó en una solución acuosa de</w:t>
      </w:r>
      <w:r>
        <w:rPr>
          <w:rFonts w:ascii="Arial" w:hAnsi="Arial" w:cs="Arial"/>
          <w:sz w:val="24"/>
          <w:szCs w:val="24"/>
        </w:rPr>
        <w:t xml:space="preserve"> color amarillo pálido característico de las NpsAg &lt;50 nm. En la </w:t>
      </w:r>
      <w:r w:rsidRPr="009E7128">
        <w:rPr>
          <w:rFonts w:ascii="Arial" w:hAnsi="Arial" w:cs="Arial"/>
          <w:i/>
          <w:sz w:val="24"/>
          <w:szCs w:val="24"/>
        </w:rPr>
        <w:lastRenderedPageBreak/>
        <w:t xml:space="preserve">figura </w:t>
      </w:r>
      <w:r w:rsidR="009E7128" w:rsidRPr="009E7128">
        <w:rPr>
          <w:rFonts w:ascii="Arial" w:hAnsi="Arial" w:cs="Arial"/>
          <w:i/>
          <w:sz w:val="24"/>
          <w:szCs w:val="24"/>
        </w:rPr>
        <w:t>1</w:t>
      </w:r>
      <w:r>
        <w:rPr>
          <w:rFonts w:ascii="Arial" w:hAnsi="Arial" w:cs="Arial"/>
          <w:sz w:val="24"/>
          <w:szCs w:val="24"/>
        </w:rPr>
        <w:t xml:space="preserve"> se observa como aumenta la intensidad del color </w:t>
      </w:r>
      <w:r w:rsidR="00C63059">
        <w:rPr>
          <w:rFonts w:ascii="Arial" w:hAnsi="Arial" w:cs="Arial"/>
          <w:sz w:val="24"/>
          <w:szCs w:val="24"/>
        </w:rPr>
        <w:t>de acuerdo con el</w:t>
      </w:r>
      <w:r>
        <w:rPr>
          <w:rFonts w:ascii="Arial" w:hAnsi="Arial" w:cs="Arial"/>
          <w:sz w:val="24"/>
          <w:szCs w:val="24"/>
        </w:rPr>
        <w:t xml:space="preserve"> aumento de concentración de NpsAg.</w:t>
      </w:r>
    </w:p>
    <w:p w14:paraId="456A54F7" w14:textId="77777777" w:rsidR="000A0EF6" w:rsidRDefault="000A0EF6" w:rsidP="000A0EF6">
      <w:pPr>
        <w:keepNext/>
        <w:spacing w:after="120" w:line="360" w:lineRule="auto"/>
        <w:jc w:val="center"/>
      </w:pPr>
      <w:r>
        <w:rPr>
          <w:noProof/>
          <w:lang w:val="en-US"/>
        </w:rPr>
        <w:drawing>
          <wp:inline distT="0" distB="0" distL="0" distR="0" wp14:anchorId="6BA9775A" wp14:editId="4D86A36E">
            <wp:extent cx="2094486" cy="1606452"/>
            <wp:effectExtent l="0" t="0" r="127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0271" cy="1626229"/>
                    </a:xfrm>
                    <a:prstGeom prst="rect">
                      <a:avLst/>
                    </a:prstGeom>
                    <a:noFill/>
                  </pic:spPr>
                </pic:pic>
              </a:graphicData>
            </a:graphic>
          </wp:inline>
        </w:drawing>
      </w:r>
    </w:p>
    <w:p w14:paraId="1B4A518A" w14:textId="77777777" w:rsidR="000A0EF6" w:rsidRPr="009E7128" w:rsidRDefault="000A0EF6" w:rsidP="009E7128">
      <w:pPr>
        <w:pStyle w:val="Descripcin"/>
        <w:spacing w:before="120" w:after="360"/>
        <w:jc w:val="center"/>
        <w:rPr>
          <w:rFonts w:ascii="Arial" w:hAnsi="Arial" w:cs="Arial"/>
          <w:b/>
          <w:i w:val="0"/>
          <w:color w:val="000000" w:themeColor="text1"/>
          <w:sz w:val="28"/>
          <w:szCs w:val="24"/>
        </w:rPr>
      </w:pPr>
      <w:r>
        <w:t xml:space="preserve">Figura </w:t>
      </w:r>
      <w:fldSimple w:instr=" SEQ Figura \* ARABIC ">
        <w:r w:rsidR="00002D1B">
          <w:rPr>
            <w:noProof/>
          </w:rPr>
          <w:t>1</w:t>
        </w:r>
      </w:fldSimple>
      <w:r>
        <w:t xml:space="preserve">  Formación de NpsAg. En a) 12.5 mM, en b)</w:t>
      </w:r>
      <w:r w:rsidR="009E7128">
        <w:t xml:space="preserve">25 mM, en c)50 mM, en d)100mM </w:t>
      </w:r>
    </w:p>
    <w:p w14:paraId="4BB8775E" w14:textId="77777777" w:rsidR="00197E55" w:rsidRDefault="00197E55" w:rsidP="000A0EF6">
      <w:pPr>
        <w:spacing w:after="240" w:line="360" w:lineRule="auto"/>
        <w:jc w:val="both"/>
        <w:rPr>
          <w:rFonts w:ascii="Arial" w:hAnsi="Arial" w:cs="Arial"/>
          <w:b/>
          <w:sz w:val="24"/>
          <w:szCs w:val="24"/>
        </w:rPr>
      </w:pPr>
      <w:r>
        <w:rPr>
          <w:rFonts w:ascii="Arial" w:hAnsi="Arial" w:cs="Arial"/>
          <w:b/>
          <w:sz w:val="24"/>
          <w:szCs w:val="24"/>
        </w:rPr>
        <w:t>Caracterización fibras</w:t>
      </w:r>
    </w:p>
    <w:p w14:paraId="6AE16E65" w14:textId="297FEC3E" w:rsidR="00A41D4B" w:rsidRPr="00197E55" w:rsidRDefault="00A41D4B" w:rsidP="00197E55">
      <w:pPr>
        <w:spacing w:after="240" w:line="360" w:lineRule="auto"/>
        <w:jc w:val="both"/>
        <w:rPr>
          <w:rFonts w:ascii="Arial" w:hAnsi="Arial" w:cs="Arial"/>
          <w:b/>
          <w:sz w:val="24"/>
          <w:szCs w:val="24"/>
        </w:rPr>
      </w:pPr>
      <w:r w:rsidRPr="000A0EF6">
        <w:rPr>
          <w:rFonts w:ascii="Arial" w:hAnsi="Arial" w:cs="Arial"/>
          <w:sz w:val="24"/>
          <w:szCs w:val="24"/>
        </w:rPr>
        <w:t>En las micrografías del microscopio electrónico de barrido (MEB) se puede observar las fibras obtenidas presentan una superficie lisa, son cilíndricas, helicoidales, bidireccionales, están libres de perlas o presencia de precipitados y no se observan fracturas</w:t>
      </w:r>
      <w:r w:rsidR="000A0EF6" w:rsidRPr="000A0EF6">
        <w:rPr>
          <w:rFonts w:ascii="Arial" w:hAnsi="Arial" w:cs="Arial"/>
          <w:b/>
          <w:sz w:val="24"/>
          <w:szCs w:val="24"/>
        </w:rPr>
        <w:t xml:space="preserve">. </w:t>
      </w:r>
      <w:r w:rsidRPr="000A0EF6">
        <w:rPr>
          <w:rFonts w:ascii="Arial" w:hAnsi="Arial" w:cs="Arial"/>
          <w:sz w:val="24"/>
          <w:szCs w:val="24"/>
        </w:rPr>
        <w:t>Muestran las micrografías del compósito PCL/NpsAg, se pueden observar NpsAg esféricas y pseudoesféricas con un diámetro que van de 80 a 190 nm distribuidas en la superficie y dentro de la fibra. Se pueden observar algunas nanopartículas alargadas con diámetro de hasta 190. El resultado del espectro de EDX muestra la presencia de carbono, oxígeno y plata evidenciando que las nanofibras están embebidas con NpsAg.</w:t>
      </w:r>
      <w:r w:rsidR="00197E55">
        <w:rPr>
          <w:rFonts w:ascii="Arial" w:hAnsi="Arial" w:cs="Arial"/>
          <w:b/>
          <w:sz w:val="24"/>
          <w:szCs w:val="24"/>
        </w:rPr>
        <w:t xml:space="preserve"> </w:t>
      </w:r>
      <w:r w:rsidR="00197E55">
        <w:rPr>
          <w:rFonts w:ascii="Arial" w:hAnsi="Arial" w:cs="Arial"/>
          <w:sz w:val="24"/>
          <w:szCs w:val="24"/>
        </w:rPr>
        <w:t xml:space="preserve">Como se observa en la </w:t>
      </w:r>
      <w:r w:rsidR="00197E55" w:rsidRPr="00197E55">
        <w:rPr>
          <w:rFonts w:ascii="Arial" w:hAnsi="Arial" w:cs="Arial"/>
          <w:iCs/>
          <w:sz w:val="24"/>
          <w:szCs w:val="24"/>
        </w:rPr>
        <w:t xml:space="preserve">figura </w:t>
      </w:r>
      <w:r w:rsidR="00197E55" w:rsidRPr="009E7128">
        <w:rPr>
          <w:rFonts w:ascii="Arial" w:hAnsi="Arial" w:cs="Arial"/>
          <w:i/>
          <w:sz w:val="24"/>
          <w:szCs w:val="24"/>
        </w:rPr>
        <w:t>2</w:t>
      </w:r>
      <w:r w:rsidR="00197E55">
        <w:rPr>
          <w:rFonts w:ascii="Arial" w:hAnsi="Arial" w:cs="Arial"/>
          <w:i/>
          <w:sz w:val="24"/>
          <w:szCs w:val="24"/>
        </w:rPr>
        <w:t xml:space="preserve"> </w:t>
      </w:r>
      <w:r w:rsidRPr="009E7128">
        <w:rPr>
          <w:rFonts w:ascii="Arial" w:hAnsi="Arial" w:cs="Arial"/>
          <w:sz w:val="24"/>
          <w:szCs w:val="24"/>
        </w:rPr>
        <w:t>se obtiene el mismo espectro para las fibras de PCL y PCL/Ag. La incorporación de las nanopartículas de plata a la PCL no presentó la generación de nuevos enlaces</w:t>
      </w:r>
      <w:r w:rsidR="009E7128" w:rsidRPr="009E7128">
        <w:rPr>
          <w:rFonts w:ascii="Arial" w:hAnsi="Arial" w:cs="Arial"/>
          <w:sz w:val="24"/>
          <w:szCs w:val="24"/>
        </w:rPr>
        <w:t>.</w:t>
      </w:r>
      <w:r w:rsidR="009E7128">
        <w:rPr>
          <w:rFonts w:ascii="Arial" w:hAnsi="Arial" w:cs="Arial"/>
          <w:sz w:val="24"/>
          <w:szCs w:val="24"/>
        </w:rPr>
        <w:t xml:space="preserve"> </w:t>
      </w:r>
    </w:p>
    <w:p w14:paraId="1C54E2CD" w14:textId="77777777" w:rsidR="00A41D4B" w:rsidRPr="009E7128" w:rsidRDefault="00A41D4B" w:rsidP="00A41D4B">
      <w:pPr>
        <w:tabs>
          <w:tab w:val="left" w:pos="2895"/>
          <w:tab w:val="center" w:pos="4110"/>
        </w:tabs>
        <w:spacing w:before="240" w:after="240" w:line="360" w:lineRule="auto"/>
        <w:rPr>
          <w:rFonts w:ascii="Arial" w:hAnsi="Arial" w:cs="Arial"/>
          <w:b/>
          <w:bCs/>
          <w:iCs/>
          <w:color w:val="252525"/>
          <w:sz w:val="24"/>
          <w:szCs w:val="24"/>
          <w:shd w:val="clear" w:color="auto" w:fill="FFFFFF"/>
        </w:rPr>
      </w:pPr>
      <w:r w:rsidRPr="009E7128">
        <w:rPr>
          <w:rFonts w:ascii="Arial" w:hAnsi="Arial" w:cs="Arial"/>
          <w:b/>
          <w:bCs/>
          <w:iCs/>
          <w:color w:val="252525"/>
          <w:sz w:val="24"/>
          <w:szCs w:val="24"/>
          <w:shd w:val="clear" w:color="auto" w:fill="FFFFFF"/>
        </w:rPr>
        <w:t>Evaluación antimicrobiana de la nanofibra PCL/Ag</w:t>
      </w:r>
    </w:p>
    <w:p w14:paraId="7F8D98AD" w14:textId="27F5785A" w:rsidR="00A41D4B" w:rsidRDefault="00A41D4B" w:rsidP="00A41D4B">
      <w:pPr>
        <w:spacing w:after="120" w:line="360" w:lineRule="auto"/>
        <w:jc w:val="both"/>
        <w:rPr>
          <w:rFonts w:ascii="Arial" w:hAnsi="Arial" w:cs="Arial"/>
          <w:sz w:val="24"/>
          <w:szCs w:val="24"/>
        </w:rPr>
      </w:pPr>
      <w:r w:rsidRPr="009E7128">
        <w:rPr>
          <w:rFonts w:ascii="Arial" w:hAnsi="Arial" w:cs="Arial"/>
          <w:b/>
          <w:bCs/>
          <w:iCs/>
          <w:color w:val="252525"/>
          <w:sz w:val="24"/>
          <w:szCs w:val="24"/>
          <w:shd w:val="clear" w:color="auto" w:fill="FFFFFF"/>
        </w:rPr>
        <w:t>Concentración mínima inhibitoria</w:t>
      </w:r>
      <w:r w:rsidRPr="009E7128">
        <w:rPr>
          <w:rFonts w:ascii="Arial" w:hAnsi="Arial" w:cs="Arial"/>
          <w:b/>
          <w:bCs/>
          <w:iCs/>
          <w:color w:val="252525"/>
          <w:sz w:val="24"/>
          <w:szCs w:val="24"/>
          <w:shd w:val="clear" w:color="auto" w:fill="FFFFFF"/>
          <w:vertAlign w:val="superscript"/>
        </w:rPr>
        <w:t xml:space="preserve">: </w:t>
      </w:r>
      <w:r w:rsidRPr="009E7128">
        <w:rPr>
          <w:rFonts w:ascii="Arial" w:hAnsi="Arial" w:cs="Arial"/>
          <w:sz w:val="24"/>
          <w:szCs w:val="24"/>
        </w:rPr>
        <w:t xml:space="preserve">En </w:t>
      </w:r>
      <w:r w:rsidRPr="009E7128">
        <w:rPr>
          <w:rFonts w:ascii="Arial" w:hAnsi="Arial" w:cs="Arial"/>
          <w:i/>
          <w:sz w:val="24"/>
          <w:szCs w:val="24"/>
        </w:rPr>
        <w:t xml:space="preserve">S. aureus, E. coli, P. aeruginosa </w:t>
      </w:r>
      <w:r w:rsidRPr="009E7128">
        <w:rPr>
          <w:rFonts w:ascii="Arial" w:hAnsi="Arial" w:cs="Arial"/>
          <w:sz w:val="24"/>
          <w:szCs w:val="24"/>
        </w:rPr>
        <w:t>y</w:t>
      </w:r>
      <w:r w:rsidRPr="009E7128">
        <w:rPr>
          <w:rFonts w:ascii="Arial" w:hAnsi="Arial" w:cs="Arial"/>
          <w:i/>
          <w:sz w:val="24"/>
          <w:szCs w:val="24"/>
        </w:rPr>
        <w:t xml:space="preserve"> K. pneumoniae</w:t>
      </w:r>
      <w:r w:rsidRPr="009E7128">
        <w:rPr>
          <w:rFonts w:ascii="Arial" w:hAnsi="Arial" w:cs="Arial"/>
          <w:sz w:val="24"/>
          <w:szCs w:val="24"/>
        </w:rPr>
        <w:t xml:space="preserve"> el halo de inhibición fue directamente proporcional al aumento de NpsAg</w:t>
      </w:r>
      <w:r w:rsidR="009E7128" w:rsidRPr="009E7128">
        <w:rPr>
          <w:rFonts w:ascii="Arial" w:hAnsi="Arial" w:cs="Arial"/>
          <w:sz w:val="24"/>
          <w:szCs w:val="24"/>
        </w:rPr>
        <w:t>, mientras que</w:t>
      </w:r>
      <w:r w:rsidRPr="009E7128">
        <w:rPr>
          <w:rFonts w:ascii="Arial" w:hAnsi="Arial" w:cs="Arial"/>
          <w:i/>
          <w:sz w:val="24"/>
          <w:szCs w:val="24"/>
        </w:rPr>
        <w:t xml:space="preserve"> </w:t>
      </w:r>
      <w:r w:rsidRPr="007A08B1">
        <w:rPr>
          <w:rFonts w:ascii="Arial" w:hAnsi="Arial" w:cs="Arial"/>
          <w:sz w:val="24"/>
          <w:szCs w:val="24"/>
        </w:rPr>
        <w:t xml:space="preserve">la concentración mínima inhibitoria (CMI) fue de 12.5 mM. </w:t>
      </w:r>
      <w:r w:rsidR="007A08B1" w:rsidRPr="007A08B1">
        <w:rPr>
          <w:rFonts w:ascii="Arial" w:hAnsi="Arial" w:cs="Arial"/>
          <w:sz w:val="24"/>
          <w:szCs w:val="24"/>
        </w:rPr>
        <w:t xml:space="preserve">Los halos de inhibición </w:t>
      </w:r>
      <w:r w:rsidR="007A08B1">
        <w:rPr>
          <w:rFonts w:ascii="Arial" w:hAnsi="Arial" w:cs="Arial"/>
          <w:sz w:val="24"/>
          <w:szCs w:val="24"/>
        </w:rPr>
        <w:t>medidos de la CMI en</w:t>
      </w:r>
      <w:r w:rsidR="007A08B1" w:rsidRPr="007A08B1">
        <w:rPr>
          <w:rFonts w:ascii="Arial" w:hAnsi="Arial" w:cs="Arial"/>
          <w:sz w:val="24"/>
          <w:szCs w:val="24"/>
        </w:rPr>
        <w:t xml:space="preserve"> </w:t>
      </w:r>
      <w:r w:rsidR="007A08B1">
        <w:rPr>
          <w:rFonts w:ascii="Arial" w:hAnsi="Arial" w:cs="Arial"/>
          <w:sz w:val="24"/>
          <w:szCs w:val="24"/>
        </w:rPr>
        <w:t xml:space="preserve">las bacterias </w:t>
      </w:r>
      <w:r w:rsidRPr="007A08B1">
        <w:rPr>
          <w:rFonts w:ascii="Arial" w:hAnsi="Arial" w:cs="Arial"/>
          <w:i/>
          <w:sz w:val="24"/>
          <w:szCs w:val="24"/>
        </w:rPr>
        <w:t>S. aureus</w:t>
      </w:r>
      <w:r w:rsidRPr="007A08B1">
        <w:rPr>
          <w:rFonts w:ascii="Arial" w:hAnsi="Arial" w:cs="Arial"/>
          <w:sz w:val="24"/>
          <w:szCs w:val="24"/>
        </w:rPr>
        <w:t>,</w:t>
      </w:r>
      <w:r w:rsidR="007A08B1" w:rsidRPr="007A08B1">
        <w:rPr>
          <w:rFonts w:ascii="Arial" w:hAnsi="Arial" w:cs="Arial"/>
          <w:sz w:val="24"/>
          <w:szCs w:val="24"/>
        </w:rPr>
        <w:t xml:space="preserve"> </w:t>
      </w:r>
      <w:r w:rsidRPr="007A08B1">
        <w:rPr>
          <w:rFonts w:ascii="Arial" w:hAnsi="Arial" w:cs="Arial"/>
          <w:i/>
          <w:sz w:val="24"/>
          <w:szCs w:val="24"/>
        </w:rPr>
        <w:t>E. coli</w:t>
      </w:r>
      <w:r w:rsidR="007A08B1" w:rsidRPr="007A08B1">
        <w:rPr>
          <w:rFonts w:ascii="Arial" w:hAnsi="Arial" w:cs="Arial"/>
          <w:i/>
          <w:sz w:val="24"/>
          <w:szCs w:val="24"/>
        </w:rPr>
        <w:t xml:space="preserve">, </w:t>
      </w:r>
      <w:r w:rsidRPr="007A08B1">
        <w:rPr>
          <w:rFonts w:ascii="Arial" w:hAnsi="Arial" w:cs="Arial"/>
          <w:i/>
          <w:sz w:val="24"/>
          <w:szCs w:val="24"/>
        </w:rPr>
        <w:t>P. aeruginosa</w:t>
      </w:r>
      <w:r w:rsidR="007A08B1" w:rsidRPr="007A08B1">
        <w:rPr>
          <w:rFonts w:ascii="Arial" w:hAnsi="Arial" w:cs="Arial"/>
          <w:sz w:val="24"/>
          <w:szCs w:val="24"/>
        </w:rPr>
        <w:t xml:space="preserve">, </w:t>
      </w:r>
      <w:r w:rsidRPr="007A08B1">
        <w:rPr>
          <w:rFonts w:ascii="Arial" w:hAnsi="Arial" w:cs="Arial"/>
          <w:i/>
          <w:sz w:val="24"/>
          <w:szCs w:val="24"/>
        </w:rPr>
        <w:t>K pneumoniae</w:t>
      </w:r>
      <w:r w:rsidR="007A08B1">
        <w:rPr>
          <w:rFonts w:ascii="Arial" w:hAnsi="Arial" w:cs="Arial"/>
          <w:i/>
          <w:sz w:val="24"/>
          <w:szCs w:val="24"/>
        </w:rPr>
        <w:t xml:space="preserve"> </w:t>
      </w:r>
      <w:r w:rsidR="007A08B1" w:rsidRPr="007A08B1">
        <w:rPr>
          <w:rFonts w:ascii="Arial" w:hAnsi="Arial" w:cs="Arial"/>
          <w:sz w:val="24"/>
          <w:szCs w:val="24"/>
        </w:rPr>
        <w:t>se muestran en la</w:t>
      </w:r>
      <w:r w:rsidR="007A08B1">
        <w:rPr>
          <w:rFonts w:ascii="Arial" w:hAnsi="Arial" w:cs="Arial"/>
          <w:i/>
          <w:sz w:val="24"/>
          <w:szCs w:val="24"/>
        </w:rPr>
        <w:t xml:space="preserve"> figura 2</w:t>
      </w:r>
      <w:r w:rsidR="007A08B1" w:rsidRPr="007A08B1">
        <w:rPr>
          <w:rFonts w:ascii="Arial" w:hAnsi="Arial" w:cs="Arial"/>
          <w:sz w:val="24"/>
          <w:szCs w:val="24"/>
        </w:rPr>
        <w:t>.</w:t>
      </w:r>
      <w:r w:rsidR="007A08B1">
        <w:rPr>
          <w:rFonts w:ascii="Arial" w:hAnsi="Arial" w:cs="Arial"/>
          <w:sz w:val="24"/>
          <w:szCs w:val="24"/>
        </w:rPr>
        <w:t xml:space="preserve"> Mientras que e</w:t>
      </w:r>
      <w:r w:rsidRPr="007A08B1">
        <w:rPr>
          <w:rFonts w:ascii="Arial" w:hAnsi="Arial" w:cs="Arial"/>
          <w:sz w:val="24"/>
          <w:szCs w:val="24"/>
        </w:rPr>
        <w:t xml:space="preserve">n </w:t>
      </w:r>
      <w:r w:rsidRPr="007A08B1">
        <w:rPr>
          <w:rFonts w:ascii="Arial" w:hAnsi="Arial" w:cs="Arial"/>
          <w:i/>
          <w:sz w:val="24"/>
          <w:szCs w:val="24"/>
        </w:rPr>
        <w:t>S. mutans</w:t>
      </w:r>
      <w:r w:rsidRPr="007A08B1">
        <w:rPr>
          <w:rFonts w:ascii="Arial" w:hAnsi="Arial" w:cs="Arial"/>
          <w:sz w:val="24"/>
          <w:szCs w:val="24"/>
        </w:rPr>
        <w:t xml:space="preserve"> y </w:t>
      </w:r>
      <w:r w:rsidRPr="007A08B1">
        <w:rPr>
          <w:rFonts w:ascii="Arial" w:hAnsi="Arial" w:cs="Arial"/>
          <w:i/>
          <w:sz w:val="24"/>
          <w:szCs w:val="24"/>
        </w:rPr>
        <w:t>B. subtilis</w:t>
      </w:r>
      <w:r w:rsidRPr="007A08B1">
        <w:rPr>
          <w:rFonts w:ascii="Arial" w:hAnsi="Arial" w:cs="Arial"/>
          <w:sz w:val="24"/>
          <w:szCs w:val="24"/>
        </w:rPr>
        <w:t xml:space="preserve"> no </w:t>
      </w:r>
      <w:r w:rsidR="007A08B1">
        <w:rPr>
          <w:rFonts w:ascii="Arial" w:hAnsi="Arial" w:cs="Arial"/>
          <w:sz w:val="24"/>
          <w:szCs w:val="24"/>
        </w:rPr>
        <w:t>se mostró</w:t>
      </w:r>
      <w:r w:rsidRPr="007A08B1">
        <w:rPr>
          <w:rFonts w:ascii="Arial" w:hAnsi="Arial" w:cs="Arial"/>
          <w:sz w:val="24"/>
          <w:szCs w:val="24"/>
        </w:rPr>
        <w:t xml:space="preserve"> sensibilidad a ninguna de las fibras PCL/Ag.</w:t>
      </w:r>
    </w:p>
    <w:p w14:paraId="7A827534" w14:textId="77777777" w:rsidR="00197E55" w:rsidRDefault="00197E55" w:rsidP="00197E55">
      <w:pPr>
        <w:keepNext/>
        <w:tabs>
          <w:tab w:val="left" w:pos="2895"/>
          <w:tab w:val="center" w:pos="4110"/>
        </w:tabs>
        <w:spacing w:after="120" w:line="360" w:lineRule="auto"/>
        <w:jc w:val="center"/>
      </w:pPr>
      <w:r w:rsidRPr="0037696F">
        <w:rPr>
          <w:rFonts w:ascii="Arial" w:hAnsi="Arial" w:cs="Arial"/>
          <w:b/>
          <w:noProof/>
          <w:sz w:val="20"/>
          <w:szCs w:val="24"/>
          <w:lang w:val="en-US"/>
        </w:rPr>
        <w:lastRenderedPageBreak/>
        <w:drawing>
          <wp:inline distT="0" distB="0" distL="0" distR="0" wp14:anchorId="4FDA7124" wp14:editId="6818FE30">
            <wp:extent cx="4930689" cy="4206240"/>
            <wp:effectExtent l="0" t="0" r="3810" b="3810"/>
            <wp:docPr id="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9" cstate="print"/>
                    <a:stretch>
                      <a:fillRect/>
                    </a:stretch>
                  </pic:blipFill>
                  <pic:spPr>
                    <a:xfrm>
                      <a:off x="0" y="0"/>
                      <a:ext cx="4930689" cy="4206240"/>
                    </a:xfrm>
                    <a:prstGeom prst="rect">
                      <a:avLst/>
                    </a:prstGeom>
                  </pic:spPr>
                </pic:pic>
              </a:graphicData>
            </a:graphic>
          </wp:inline>
        </w:drawing>
      </w:r>
    </w:p>
    <w:p w14:paraId="79D7335D" w14:textId="77777777" w:rsidR="00197E55" w:rsidRPr="009E7128" w:rsidRDefault="00197E55" w:rsidP="00197E55">
      <w:pPr>
        <w:pStyle w:val="Descripcin"/>
        <w:jc w:val="center"/>
        <w:rPr>
          <w:rFonts w:ascii="Arial" w:hAnsi="Arial" w:cs="Arial"/>
          <w:b/>
          <w:bCs/>
          <w:i w:val="0"/>
          <w:color w:val="252525"/>
          <w:sz w:val="24"/>
          <w:szCs w:val="24"/>
          <w:shd w:val="clear" w:color="auto" w:fill="FFFFFF"/>
        </w:rPr>
      </w:pPr>
      <w:r>
        <w:t xml:space="preserve">Figura </w:t>
      </w:r>
      <w:fldSimple w:instr=" SEQ Figura \* ARABIC ">
        <w:r>
          <w:rPr>
            <w:noProof/>
          </w:rPr>
          <w:t>2</w:t>
        </w:r>
      </w:fldSimple>
      <w:r>
        <w:t xml:space="preserve"> </w:t>
      </w:r>
      <w:r w:rsidRPr="006F1D9F">
        <w:t>Espectro Infrarrojo de cada fibra obtenida con diferentes concentraciones de NpsAg</w:t>
      </w:r>
    </w:p>
    <w:p w14:paraId="0F16D8A9" w14:textId="77777777" w:rsidR="00197E55" w:rsidRDefault="00197E55" w:rsidP="00A41D4B">
      <w:pPr>
        <w:spacing w:after="120" w:line="360" w:lineRule="auto"/>
        <w:jc w:val="both"/>
        <w:rPr>
          <w:rFonts w:ascii="Arial" w:hAnsi="Arial" w:cs="Arial"/>
          <w:sz w:val="24"/>
          <w:szCs w:val="24"/>
        </w:rPr>
      </w:pPr>
    </w:p>
    <w:p w14:paraId="76272C9D" w14:textId="77777777" w:rsidR="007A08B1" w:rsidRDefault="007A08B1" w:rsidP="007A08B1">
      <w:pPr>
        <w:keepNext/>
        <w:spacing w:after="120" w:line="360" w:lineRule="auto"/>
        <w:jc w:val="center"/>
      </w:pPr>
      <w:r>
        <w:rPr>
          <w:noProof/>
        </w:rPr>
        <w:drawing>
          <wp:inline distT="0" distB="0" distL="0" distR="0" wp14:anchorId="1DBB2382" wp14:editId="02ECC956">
            <wp:extent cx="5398103" cy="29260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6294" t="31113" r="24399" b="11709"/>
                    <a:stretch/>
                  </pic:blipFill>
                  <pic:spPr bwMode="auto">
                    <a:xfrm>
                      <a:off x="0" y="0"/>
                      <a:ext cx="5398103" cy="2926080"/>
                    </a:xfrm>
                    <a:prstGeom prst="rect">
                      <a:avLst/>
                    </a:prstGeom>
                    <a:ln>
                      <a:noFill/>
                    </a:ln>
                    <a:extLst>
                      <a:ext uri="{53640926-AAD7-44D8-BBD7-CCE9431645EC}">
                        <a14:shadowObscured xmlns:a14="http://schemas.microsoft.com/office/drawing/2010/main"/>
                      </a:ext>
                    </a:extLst>
                  </pic:spPr>
                </pic:pic>
              </a:graphicData>
            </a:graphic>
          </wp:inline>
        </w:drawing>
      </w:r>
    </w:p>
    <w:p w14:paraId="57E78855" w14:textId="77777777" w:rsidR="007A08B1" w:rsidRDefault="007A08B1" w:rsidP="007A08B1">
      <w:pPr>
        <w:pStyle w:val="Descripcin"/>
        <w:jc w:val="center"/>
        <w:rPr>
          <w:rFonts w:ascii="Arial" w:hAnsi="Arial" w:cs="Arial"/>
          <w:sz w:val="24"/>
          <w:szCs w:val="24"/>
        </w:rPr>
      </w:pPr>
      <w:r>
        <w:t xml:space="preserve">Figura </w:t>
      </w:r>
      <w:fldSimple w:instr=" SEQ Figura \* ARABIC ">
        <w:r w:rsidR="00002D1B">
          <w:rPr>
            <w:noProof/>
          </w:rPr>
          <w:t>3</w:t>
        </w:r>
      </w:fldSimple>
      <w:r w:rsidR="00002D1B">
        <w:t xml:space="preserve"> </w:t>
      </w:r>
      <w:r w:rsidR="00002D1B" w:rsidRPr="0059292A">
        <w:rPr>
          <w:rFonts w:ascii="Arial" w:hAnsi="Arial" w:cs="Arial"/>
          <w:sz w:val="20"/>
          <w:szCs w:val="24"/>
        </w:rPr>
        <w:t>Efecto de las NpsAg en cada una de las bacterias.</w:t>
      </w:r>
    </w:p>
    <w:p w14:paraId="6866041C" w14:textId="7AC75F3B" w:rsidR="00A41D4B" w:rsidRPr="00FB304F" w:rsidRDefault="00A41D4B" w:rsidP="00197E55">
      <w:pPr>
        <w:tabs>
          <w:tab w:val="left" w:pos="2895"/>
          <w:tab w:val="center" w:pos="4110"/>
        </w:tabs>
        <w:spacing w:before="240" w:after="240" w:line="360" w:lineRule="auto"/>
        <w:jc w:val="both"/>
        <w:rPr>
          <w:rFonts w:ascii="Arial" w:hAnsi="Arial" w:cs="Arial"/>
          <w:sz w:val="24"/>
          <w:szCs w:val="24"/>
        </w:rPr>
      </w:pPr>
      <w:r w:rsidRPr="007A08B1">
        <w:rPr>
          <w:rFonts w:ascii="Arial" w:hAnsi="Arial" w:cs="Arial"/>
          <w:b/>
          <w:sz w:val="24"/>
          <w:szCs w:val="24"/>
        </w:rPr>
        <w:lastRenderedPageBreak/>
        <w:t xml:space="preserve">Cuantificación de colonias inhibidas: </w:t>
      </w:r>
      <w:r w:rsidRPr="007A08B1">
        <w:rPr>
          <w:rFonts w:ascii="Arial" w:hAnsi="Arial" w:cs="Arial"/>
          <w:sz w:val="24"/>
          <w:szCs w:val="24"/>
        </w:rPr>
        <w:t>Se corroboró que la concentración mínima inhibitoria (CMI) en</w:t>
      </w:r>
      <w:r w:rsidRPr="007A08B1">
        <w:rPr>
          <w:rFonts w:ascii="Arial" w:hAnsi="Arial" w:cs="Arial"/>
          <w:i/>
          <w:sz w:val="24"/>
          <w:szCs w:val="24"/>
        </w:rPr>
        <w:t xml:space="preserve"> S. aureus, E. coli, P. aeruginosa </w:t>
      </w:r>
      <w:r w:rsidRPr="007A08B1">
        <w:rPr>
          <w:rFonts w:ascii="Arial" w:hAnsi="Arial" w:cs="Arial"/>
          <w:sz w:val="24"/>
          <w:szCs w:val="24"/>
        </w:rPr>
        <w:t>y</w:t>
      </w:r>
      <w:r w:rsidRPr="007A08B1">
        <w:rPr>
          <w:rFonts w:ascii="Arial" w:hAnsi="Arial" w:cs="Arial"/>
          <w:i/>
          <w:sz w:val="24"/>
          <w:szCs w:val="24"/>
        </w:rPr>
        <w:t xml:space="preserve"> K. pneumoniae</w:t>
      </w:r>
      <w:r w:rsidRPr="007A08B1">
        <w:rPr>
          <w:rFonts w:ascii="Arial" w:hAnsi="Arial" w:cs="Arial"/>
          <w:sz w:val="24"/>
          <w:szCs w:val="24"/>
        </w:rPr>
        <w:t xml:space="preserve"> fue de 12.5 mM. En </w:t>
      </w:r>
      <w:r w:rsidRPr="007A08B1">
        <w:rPr>
          <w:rFonts w:ascii="Arial" w:hAnsi="Arial" w:cs="Arial"/>
          <w:i/>
          <w:sz w:val="24"/>
          <w:szCs w:val="24"/>
        </w:rPr>
        <w:t>S. mutans</w:t>
      </w:r>
      <w:r w:rsidRPr="007A08B1">
        <w:rPr>
          <w:rFonts w:ascii="Arial" w:hAnsi="Arial" w:cs="Arial"/>
          <w:sz w:val="24"/>
          <w:szCs w:val="24"/>
        </w:rPr>
        <w:t xml:space="preserve"> y </w:t>
      </w:r>
      <w:r w:rsidRPr="007A08B1">
        <w:rPr>
          <w:rFonts w:ascii="Arial" w:hAnsi="Arial" w:cs="Arial"/>
          <w:i/>
          <w:sz w:val="24"/>
          <w:szCs w:val="24"/>
        </w:rPr>
        <w:t>B. subtilis</w:t>
      </w:r>
      <w:r w:rsidRPr="007A08B1">
        <w:rPr>
          <w:rFonts w:ascii="Arial" w:hAnsi="Arial" w:cs="Arial"/>
          <w:sz w:val="24"/>
          <w:szCs w:val="24"/>
        </w:rPr>
        <w:t xml:space="preserve"> no se observó la inhibición de gran número de colonias, esto quiere decir que las bacterias no son sensibles a ninguna</w:t>
      </w:r>
      <w:r w:rsidR="007A08B1" w:rsidRPr="007A08B1">
        <w:rPr>
          <w:rFonts w:ascii="Arial" w:hAnsi="Arial" w:cs="Arial"/>
          <w:sz w:val="24"/>
          <w:szCs w:val="24"/>
        </w:rPr>
        <w:t xml:space="preserve"> </w:t>
      </w:r>
      <w:r w:rsidRPr="007A08B1">
        <w:rPr>
          <w:rFonts w:ascii="Arial" w:hAnsi="Arial" w:cs="Arial"/>
          <w:sz w:val="24"/>
          <w:szCs w:val="24"/>
        </w:rPr>
        <w:t>concentración de NpsAg</w:t>
      </w:r>
      <w:r w:rsidR="007A08B1" w:rsidRPr="007A08B1">
        <w:rPr>
          <w:rFonts w:ascii="Arial" w:hAnsi="Arial" w:cs="Arial"/>
          <w:sz w:val="24"/>
          <w:szCs w:val="24"/>
        </w:rPr>
        <w:t>.</w:t>
      </w:r>
    </w:p>
    <w:p w14:paraId="2CB8A135" w14:textId="6F841186" w:rsidR="006B4F3E" w:rsidRPr="00DA1FAC" w:rsidRDefault="00DA1FAC" w:rsidP="0003794E">
      <w:pPr>
        <w:spacing w:line="360" w:lineRule="auto"/>
        <w:jc w:val="both"/>
        <w:rPr>
          <w:rFonts w:ascii="Arial" w:hAnsi="Arial" w:cs="Arial"/>
          <w:b/>
          <w:bCs/>
          <w:sz w:val="24"/>
          <w:szCs w:val="24"/>
        </w:rPr>
      </w:pPr>
      <w:bookmarkStart w:id="1" w:name="_Hlk19192830"/>
      <w:r w:rsidRPr="00DA1FAC">
        <w:rPr>
          <w:rFonts w:ascii="Arial" w:hAnsi="Arial" w:cs="Arial"/>
          <w:b/>
          <w:bCs/>
          <w:sz w:val="24"/>
          <w:szCs w:val="24"/>
        </w:rPr>
        <w:t>Discusión</w:t>
      </w:r>
    </w:p>
    <w:bookmarkEnd w:id="1"/>
    <w:p w14:paraId="420D2B78" w14:textId="2AB161AC" w:rsidR="000062F6" w:rsidRPr="00F9775A" w:rsidRDefault="000062F6" w:rsidP="000062F6">
      <w:pPr>
        <w:spacing w:after="120" w:line="360" w:lineRule="auto"/>
        <w:jc w:val="both"/>
        <w:rPr>
          <w:rFonts w:ascii="Arial" w:hAnsi="Arial" w:cs="Arial"/>
          <w:sz w:val="24"/>
          <w:szCs w:val="24"/>
        </w:rPr>
      </w:pPr>
      <w:r w:rsidRPr="00F9775A">
        <w:rPr>
          <w:rFonts w:ascii="Arial" w:hAnsi="Arial" w:cs="Arial"/>
          <w:sz w:val="24"/>
          <w:szCs w:val="24"/>
        </w:rPr>
        <w:t>Al sintetizar las nanopartículas de plata a partir del nitrato de plata con DMF y THF se obtuvo una solución acuosa de color amarillo pardo, el color es característico de las N</w:t>
      </w:r>
      <w:r w:rsidR="00197E55">
        <w:rPr>
          <w:rFonts w:ascii="Arial" w:hAnsi="Arial" w:cs="Arial"/>
          <w:sz w:val="24"/>
          <w:szCs w:val="24"/>
        </w:rPr>
        <w:t>P</w:t>
      </w:r>
      <w:r w:rsidRPr="00F9775A">
        <w:rPr>
          <w:rFonts w:ascii="Arial" w:hAnsi="Arial" w:cs="Arial"/>
          <w:sz w:val="24"/>
          <w:szCs w:val="24"/>
        </w:rPr>
        <w:t xml:space="preserve">sAg que tienen un diámetro inferior a 50 nm. La coloración amarilla aumenta </w:t>
      </w:r>
      <w:r w:rsidR="00537109" w:rsidRPr="00F9775A">
        <w:rPr>
          <w:rFonts w:ascii="Arial" w:hAnsi="Arial" w:cs="Arial"/>
          <w:sz w:val="24"/>
          <w:szCs w:val="24"/>
        </w:rPr>
        <w:t>de acuerdo con el</w:t>
      </w:r>
      <w:r w:rsidRPr="00F9775A">
        <w:rPr>
          <w:rFonts w:ascii="Arial" w:hAnsi="Arial" w:cs="Arial"/>
          <w:sz w:val="24"/>
          <w:szCs w:val="24"/>
        </w:rPr>
        <w:t xml:space="preserve"> incremento de la concentración de N</w:t>
      </w:r>
      <w:r w:rsidR="00197E55">
        <w:rPr>
          <w:rFonts w:ascii="Arial" w:hAnsi="Arial" w:cs="Arial"/>
          <w:sz w:val="24"/>
          <w:szCs w:val="24"/>
        </w:rPr>
        <w:t>P</w:t>
      </w:r>
      <w:r w:rsidRPr="00F9775A">
        <w:rPr>
          <w:rFonts w:ascii="Arial" w:hAnsi="Arial" w:cs="Arial"/>
          <w:sz w:val="24"/>
          <w:szCs w:val="24"/>
        </w:rPr>
        <w:t>sAg. El color amarillo se debe al tamaño, forma, orientación, suspensión de las N</w:t>
      </w:r>
      <w:r w:rsidR="00197E55">
        <w:rPr>
          <w:rFonts w:ascii="Arial" w:hAnsi="Arial" w:cs="Arial"/>
          <w:sz w:val="24"/>
          <w:szCs w:val="24"/>
        </w:rPr>
        <w:t>P</w:t>
      </w:r>
      <w:r w:rsidRPr="00F9775A">
        <w:rPr>
          <w:rFonts w:ascii="Arial" w:hAnsi="Arial" w:cs="Arial"/>
          <w:sz w:val="24"/>
          <w:szCs w:val="24"/>
        </w:rPr>
        <w:t>sAg, así como el ángulo en el que incide la luz y es difractada dentro del sistema acuoso (Pananeck, 2006).</w:t>
      </w:r>
    </w:p>
    <w:p w14:paraId="0E4983CC" w14:textId="77777777" w:rsidR="000062F6" w:rsidRPr="00F9775A" w:rsidRDefault="000062F6" w:rsidP="0003794E">
      <w:pPr>
        <w:spacing w:line="360" w:lineRule="auto"/>
        <w:jc w:val="both"/>
        <w:rPr>
          <w:rFonts w:ascii="Arial" w:hAnsi="Arial" w:cs="Arial"/>
          <w:sz w:val="24"/>
          <w:szCs w:val="24"/>
        </w:rPr>
      </w:pPr>
      <w:r w:rsidRPr="00F9775A">
        <w:rPr>
          <w:rFonts w:ascii="Arial" w:hAnsi="Arial" w:cs="Arial"/>
          <w:sz w:val="24"/>
          <w:szCs w:val="24"/>
        </w:rPr>
        <w:t xml:space="preserve">A medida que las partículas aumentan de tamaño, el pico de absorción por lo general se desplaza hacia las longitudes de onda mayores. Además, el aumento en la intensidad del pico de la absorción indica que la cantidad de nanopartículas de plata es mayor. </w:t>
      </w:r>
      <w:r w:rsidR="00CF5016">
        <w:rPr>
          <w:rFonts w:ascii="Arial" w:hAnsi="Arial" w:cs="Arial"/>
          <w:sz w:val="24"/>
          <w:szCs w:val="24"/>
        </w:rPr>
        <w:t>(</w:t>
      </w:r>
      <w:r w:rsidRPr="00F9775A">
        <w:rPr>
          <w:rFonts w:ascii="Arial" w:hAnsi="Arial" w:cs="Arial"/>
          <w:sz w:val="24"/>
          <w:szCs w:val="24"/>
        </w:rPr>
        <w:t>Ratyakshi y Chahuan, 2009).</w:t>
      </w:r>
    </w:p>
    <w:p w14:paraId="3551DD7C" w14:textId="0C47F064" w:rsidR="000062F6" w:rsidRPr="00F9775A" w:rsidRDefault="000062F6" w:rsidP="0003794E">
      <w:pPr>
        <w:spacing w:line="360" w:lineRule="auto"/>
        <w:jc w:val="both"/>
        <w:rPr>
          <w:rFonts w:ascii="Arial" w:hAnsi="Arial" w:cs="Arial"/>
          <w:color w:val="222222"/>
          <w:sz w:val="24"/>
          <w:szCs w:val="24"/>
        </w:rPr>
      </w:pPr>
      <w:r w:rsidRPr="00F9775A">
        <w:rPr>
          <w:rFonts w:ascii="Arial" w:hAnsi="Arial" w:cs="Arial"/>
          <w:sz w:val="24"/>
          <w:szCs w:val="24"/>
        </w:rPr>
        <w:t xml:space="preserve">En este trabajo se empleó la técnica de electrohilado </w:t>
      </w:r>
      <w:r w:rsidRPr="00F9775A">
        <w:rPr>
          <w:rStyle w:val="hps"/>
          <w:rFonts w:ascii="Arial" w:hAnsi="Arial" w:cs="Arial"/>
          <w:color w:val="222222"/>
          <w:sz w:val="24"/>
          <w:szCs w:val="24"/>
        </w:rPr>
        <w:t>debido a su simplicidad</w:t>
      </w:r>
      <w:r w:rsidRPr="00F9775A">
        <w:rPr>
          <w:rFonts w:ascii="Arial" w:hAnsi="Arial" w:cs="Arial"/>
          <w:color w:val="222222"/>
          <w:sz w:val="24"/>
          <w:szCs w:val="24"/>
        </w:rPr>
        <w:t xml:space="preserve"> </w:t>
      </w:r>
      <w:r w:rsidRPr="00F9775A">
        <w:rPr>
          <w:rStyle w:val="hps"/>
          <w:rFonts w:ascii="Arial" w:hAnsi="Arial" w:cs="Arial"/>
          <w:color w:val="222222"/>
          <w:sz w:val="24"/>
          <w:szCs w:val="24"/>
        </w:rPr>
        <w:t>y eficacia</w:t>
      </w:r>
      <w:r w:rsidRPr="00F9775A">
        <w:rPr>
          <w:rFonts w:ascii="Arial" w:hAnsi="Arial" w:cs="Arial"/>
          <w:color w:val="222222"/>
          <w:sz w:val="24"/>
          <w:szCs w:val="24"/>
        </w:rPr>
        <w:t xml:space="preserve"> </w:t>
      </w:r>
      <w:r w:rsidRPr="00F9775A">
        <w:rPr>
          <w:rStyle w:val="hps"/>
          <w:rFonts w:ascii="Arial" w:hAnsi="Arial" w:cs="Arial"/>
          <w:color w:val="222222"/>
          <w:sz w:val="24"/>
          <w:szCs w:val="24"/>
        </w:rPr>
        <w:t>en la fabricación de</w:t>
      </w:r>
      <w:r w:rsidRPr="00F9775A">
        <w:rPr>
          <w:rFonts w:ascii="Arial" w:hAnsi="Arial" w:cs="Arial"/>
          <w:color w:val="222222"/>
          <w:sz w:val="24"/>
          <w:szCs w:val="24"/>
        </w:rPr>
        <w:t xml:space="preserve"> </w:t>
      </w:r>
      <w:r w:rsidRPr="00F9775A">
        <w:rPr>
          <w:rStyle w:val="hps"/>
          <w:rFonts w:ascii="Arial" w:hAnsi="Arial" w:cs="Arial"/>
          <w:color w:val="222222"/>
          <w:sz w:val="24"/>
          <w:szCs w:val="24"/>
        </w:rPr>
        <w:t>nanofibras</w:t>
      </w:r>
      <w:r w:rsidR="00F9775A" w:rsidRPr="00F9775A">
        <w:rPr>
          <w:rStyle w:val="hps"/>
          <w:rFonts w:ascii="Arial" w:hAnsi="Arial" w:cs="Arial"/>
          <w:color w:val="222222"/>
          <w:sz w:val="24"/>
          <w:szCs w:val="24"/>
        </w:rPr>
        <w:t xml:space="preserve">. </w:t>
      </w:r>
      <w:r w:rsidRPr="00F9775A">
        <w:rPr>
          <w:rFonts w:ascii="Arial" w:hAnsi="Arial" w:cs="Arial"/>
          <w:sz w:val="24"/>
          <w:szCs w:val="24"/>
        </w:rPr>
        <w:t>El aumento de la concentración de N</w:t>
      </w:r>
      <w:r w:rsidR="00197E55">
        <w:rPr>
          <w:rFonts w:ascii="Arial" w:hAnsi="Arial" w:cs="Arial"/>
          <w:sz w:val="24"/>
          <w:szCs w:val="24"/>
        </w:rPr>
        <w:t>P</w:t>
      </w:r>
      <w:r w:rsidRPr="00F9775A">
        <w:rPr>
          <w:rFonts w:ascii="Arial" w:hAnsi="Arial" w:cs="Arial"/>
          <w:sz w:val="24"/>
          <w:szCs w:val="24"/>
        </w:rPr>
        <w:t>sAg generó una mayor inestabilidad del cono de Taylor, generando un serpenteo al momento de proyectar la fibra. Por lo que la disminución del voltaje evita que la solución se sobrecargue y rompa la fibra antes de llegar al colector. Como resultado de dicho proceso, la dispersión de fibras fue mayor con disminución en el diámetro. Duque (2013) confirma que seleccionar un voltaje inadecuado conlleva a la generación de fibras con defectos;</w:t>
      </w:r>
    </w:p>
    <w:p w14:paraId="502C7356" w14:textId="77777777" w:rsidR="000062F6" w:rsidRPr="00F9775A" w:rsidRDefault="000062F6" w:rsidP="000062F6">
      <w:pPr>
        <w:spacing w:line="360" w:lineRule="auto"/>
        <w:jc w:val="both"/>
        <w:rPr>
          <w:rFonts w:ascii="Arial" w:hAnsi="Arial" w:cs="Arial"/>
          <w:sz w:val="24"/>
          <w:szCs w:val="24"/>
        </w:rPr>
      </w:pPr>
      <w:r w:rsidRPr="00F9775A">
        <w:rPr>
          <w:rFonts w:ascii="Arial" w:hAnsi="Arial" w:cs="Arial"/>
          <w:sz w:val="24"/>
          <w:szCs w:val="24"/>
        </w:rPr>
        <w:t>Es importante mencionar que las fibras no presentaron algún cambio en la estructura química por la incorporación de las NpsAg. El espectro infrarrojo para cada una de las fibras se obtuvo en una longitud de onda de 4000 a 400 cm</w:t>
      </w:r>
      <w:r w:rsidRPr="00F9775A">
        <w:rPr>
          <w:rFonts w:ascii="Arial" w:hAnsi="Arial" w:cs="Arial"/>
          <w:sz w:val="24"/>
          <w:szCs w:val="24"/>
          <w:vertAlign w:val="superscript"/>
        </w:rPr>
        <w:t xml:space="preserve">-1 </w:t>
      </w:r>
      <w:r w:rsidRPr="00F9775A">
        <w:rPr>
          <w:rFonts w:ascii="Arial" w:hAnsi="Arial" w:cs="Arial"/>
          <w:sz w:val="24"/>
          <w:szCs w:val="24"/>
        </w:rPr>
        <w:t>que corresponde al infrarrojo medio.</w:t>
      </w:r>
    </w:p>
    <w:p w14:paraId="5533D796" w14:textId="70D714A1" w:rsidR="00F9775A" w:rsidRPr="00F9775A" w:rsidRDefault="000062F6" w:rsidP="00197E55">
      <w:pPr>
        <w:spacing w:line="360" w:lineRule="auto"/>
        <w:jc w:val="both"/>
        <w:rPr>
          <w:rFonts w:ascii="Arial" w:hAnsi="Arial" w:cs="Arial"/>
          <w:sz w:val="24"/>
          <w:szCs w:val="24"/>
        </w:rPr>
      </w:pPr>
      <w:r w:rsidRPr="00F9775A">
        <w:rPr>
          <w:rFonts w:ascii="Arial" w:hAnsi="Arial" w:cs="Arial"/>
          <w:sz w:val="24"/>
          <w:szCs w:val="24"/>
        </w:rPr>
        <w:lastRenderedPageBreak/>
        <w:t>La inhibición generada por las NpsAg es distinta en las bacterias Gram-positivas, en este trabajo se demostró que el efecto de las N</w:t>
      </w:r>
      <w:r w:rsidR="00197E55">
        <w:rPr>
          <w:rFonts w:ascii="Arial" w:hAnsi="Arial" w:cs="Arial"/>
          <w:sz w:val="24"/>
          <w:szCs w:val="24"/>
        </w:rPr>
        <w:t>P</w:t>
      </w:r>
      <w:r w:rsidRPr="00F9775A">
        <w:rPr>
          <w:rFonts w:ascii="Arial" w:hAnsi="Arial" w:cs="Arial"/>
          <w:sz w:val="24"/>
          <w:szCs w:val="24"/>
        </w:rPr>
        <w:t xml:space="preserve">sAg fue menor comparado con el efecto en las Gram-negativas. </w:t>
      </w:r>
      <w:r w:rsidRPr="00F9775A">
        <w:rPr>
          <w:rFonts w:ascii="Arial" w:hAnsi="Arial" w:cs="Arial"/>
          <w:i/>
          <w:sz w:val="24"/>
          <w:szCs w:val="24"/>
        </w:rPr>
        <w:t xml:space="preserve">S. aureus </w:t>
      </w:r>
      <w:r w:rsidRPr="00F9775A">
        <w:rPr>
          <w:rFonts w:ascii="Arial" w:hAnsi="Arial" w:cs="Arial"/>
          <w:sz w:val="24"/>
          <w:szCs w:val="24"/>
        </w:rPr>
        <w:t>mostró un efecto positivo en la inhibición, sin embargo, el halo de inhibición y las UFC/mL fueron menores comparadas con las bacterias Gram-negativas.</w:t>
      </w:r>
      <w:r w:rsidR="00F9775A" w:rsidRPr="00F9775A">
        <w:rPr>
          <w:rFonts w:ascii="Arial" w:hAnsi="Arial" w:cs="Arial"/>
          <w:sz w:val="24"/>
          <w:szCs w:val="24"/>
        </w:rPr>
        <w:t xml:space="preserve"> </w:t>
      </w:r>
      <w:r w:rsidR="00221988">
        <w:rPr>
          <w:rFonts w:ascii="Arial" w:hAnsi="Arial" w:cs="Arial"/>
          <w:sz w:val="24"/>
          <w:szCs w:val="24"/>
        </w:rPr>
        <w:t>A</w:t>
      </w:r>
      <w:r w:rsidR="00F9775A" w:rsidRPr="00F9775A">
        <w:rPr>
          <w:rFonts w:ascii="Arial" w:hAnsi="Arial" w:cs="Arial"/>
          <w:sz w:val="24"/>
          <w:szCs w:val="24"/>
        </w:rPr>
        <w:t xml:space="preserve">sociado a la diferencia en la estructura y composición de la pared celular por lo que la difusión de las NpsAg hacia el interior se ve disminuida (Chen </w:t>
      </w:r>
      <w:r w:rsidR="00F9775A" w:rsidRPr="00F9775A">
        <w:rPr>
          <w:rFonts w:ascii="Arial" w:hAnsi="Arial" w:cs="Arial"/>
          <w:i/>
          <w:sz w:val="24"/>
          <w:szCs w:val="24"/>
        </w:rPr>
        <w:t>et al.</w:t>
      </w:r>
      <w:r w:rsidR="00F9775A" w:rsidRPr="00F9775A">
        <w:rPr>
          <w:rFonts w:ascii="Arial" w:hAnsi="Arial" w:cs="Arial"/>
          <w:sz w:val="24"/>
          <w:szCs w:val="24"/>
        </w:rPr>
        <w:t xml:space="preserve">, 2015; Sondi y Salopek, 2009). </w:t>
      </w:r>
      <w:r w:rsidR="00F9775A" w:rsidRPr="00F9775A">
        <w:rPr>
          <w:rFonts w:ascii="Arial" w:hAnsi="Arial" w:cs="Arial"/>
          <w:i/>
          <w:sz w:val="24"/>
          <w:szCs w:val="24"/>
        </w:rPr>
        <w:t>S. mutans</w:t>
      </w:r>
      <w:r w:rsidR="00F9775A" w:rsidRPr="00F9775A">
        <w:rPr>
          <w:rFonts w:ascii="Arial" w:hAnsi="Arial" w:cs="Arial"/>
          <w:sz w:val="24"/>
          <w:szCs w:val="24"/>
        </w:rPr>
        <w:t>, tiene la capacidad de fermentar azucares (manitol y sorbitol) que favorece su adherencia a superficies, además de establecer uniones con otras colonias de estreptococos, aglutinándose por la acción de dextranos (Ojeda, 2013). El metabolismo de ambas bacterias logró disminuir la interacción con las NpsAg.</w:t>
      </w:r>
    </w:p>
    <w:p w14:paraId="40E276C0" w14:textId="1CA26061" w:rsidR="00F9775A" w:rsidRDefault="00F9775A" w:rsidP="00F9775A">
      <w:pPr>
        <w:spacing w:line="360" w:lineRule="auto"/>
        <w:jc w:val="both"/>
        <w:rPr>
          <w:rFonts w:ascii="Arial" w:hAnsi="Arial" w:cs="Arial"/>
          <w:sz w:val="24"/>
          <w:szCs w:val="24"/>
        </w:rPr>
      </w:pPr>
      <w:r w:rsidRPr="00F9775A">
        <w:rPr>
          <w:rFonts w:ascii="Arial" w:hAnsi="Arial" w:cs="Arial"/>
          <w:sz w:val="24"/>
          <w:szCs w:val="24"/>
        </w:rPr>
        <w:t xml:space="preserve">La ventaja de usar nanopartículas de plata con un tamaño inferior a 50 nm es que son fácilmente permeables a través de la membrana de las bacterias Gram negativas (Pueyo, 2008). Se ha demostrado que </w:t>
      </w:r>
      <w:r w:rsidR="00FB304F" w:rsidRPr="00F9775A">
        <w:rPr>
          <w:rFonts w:ascii="Arial" w:hAnsi="Arial" w:cs="Arial"/>
          <w:sz w:val="24"/>
          <w:szCs w:val="24"/>
        </w:rPr>
        <w:t xml:space="preserve">el tamaño de las nanopartículas de menor tamaño </w:t>
      </w:r>
      <w:r w:rsidR="00FB304F">
        <w:rPr>
          <w:rFonts w:ascii="Arial" w:hAnsi="Arial" w:cs="Arial"/>
          <w:sz w:val="24"/>
          <w:szCs w:val="24"/>
        </w:rPr>
        <w:t>cuenta</w:t>
      </w:r>
      <w:r>
        <w:rPr>
          <w:rFonts w:ascii="Arial" w:hAnsi="Arial" w:cs="Arial"/>
          <w:sz w:val="24"/>
          <w:szCs w:val="24"/>
        </w:rPr>
        <w:t xml:space="preserve"> con</w:t>
      </w:r>
      <w:r w:rsidRPr="00F9775A">
        <w:rPr>
          <w:rFonts w:ascii="Arial" w:hAnsi="Arial" w:cs="Arial"/>
          <w:sz w:val="24"/>
          <w:szCs w:val="24"/>
        </w:rPr>
        <w:t xml:space="preserve"> un mayor efecto bactericida comparado con las de mayor tamaño, la concentración de NpsAg también es un factor importante en el momento de inhibir bacterias, demostrando que a mayores concentraciones de NpsAg mayor es la inhibición (Martínez </w:t>
      </w:r>
      <w:r w:rsidRPr="00F9775A">
        <w:rPr>
          <w:rFonts w:ascii="Arial" w:hAnsi="Arial" w:cs="Arial"/>
          <w:i/>
          <w:sz w:val="24"/>
          <w:szCs w:val="24"/>
        </w:rPr>
        <w:t>et al</w:t>
      </w:r>
      <w:r w:rsidRPr="00F9775A">
        <w:rPr>
          <w:rFonts w:ascii="Arial" w:hAnsi="Arial" w:cs="Arial"/>
          <w:sz w:val="24"/>
          <w:szCs w:val="24"/>
        </w:rPr>
        <w:t>., 2008).</w:t>
      </w:r>
    </w:p>
    <w:p w14:paraId="1E98E247" w14:textId="77777777" w:rsidR="00DA1FAC" w:rsidRPr="00DA1FAC" w:rsidRDefault="00DA1FAC" w:rsidP="00DA1FAC">
      <w:pPr>
        <w:spacing w:after="120" w:line="360" w:lineRule="auto"/>
        <w:jc w:val="both"/>
        <w:rPr>
          <w:rFonts w:ascii="Arial" w:hAnsi="Arial" w:cs="Arial"/>
          <w:b/>
          <w:bCs/>
          <w:sz w:val="24"/>
          <w:szCs w:val="24"/>
        </w:rPr>
      </w:pPr>
      <w:r w:rsidRPr="00DA1FAC">
        <w:rPr>
          <w:rFonts w:ascii="Arial" w:hAnsi="Arial" w:cs="Arial"/>
          <w:b/>
          <w:bCs/>
          <w:sz w:val="24"/>
          <w:szCs w:val="24"/>
        </w:rPr>
        <w:t>Conclusiones</w:t>
      </w:r>
    </w:p>
    <w:p w14:paraId="7AAE9185" w14:textId="7A6C0F6E" w:rsidR="00DA1FAC" w:rsidRPr="00F9775A" w:rsidRDefault="00DA1FAC" w:rsidP="00DA1FAC">
      <w:pPr>
        <w:spacing w:after="120" w:line="360" w:lineRule="auto"/>
        <w:jc w:val="both"/>
        <w:rPr>
          <w:rFonts w:ascii="Arial" w:hAnsi="Arial" w:cs="Arial"/>
          <w:sz w:val="24"/>
          <w:szCs w:val="24"/>
        </w:rPr>
      </w:pPr>
      <w:r w:rsidRPr="00F9775A">
        <w:rPr>
          <w:rFonts w:ascii="Arial" w:hAnsi="Arial" w:cs="Arial"/>
          <w:sz w:val="24"/>
          <w:szCs w:val="24"/>
        </w:rPr>
        <w:t xml:space="preserve">Las micrografías de </w:t>
      </w:r>
      <w:r>
        <w:rPr>
          <w:rFonts w:ascii="Arial" w:hAnsi="Arial" w:cs="Arial"/>
          <w:sz w:val="24"/>
          <w:szCs w:val="24"/>
        </w:rPr>
        <w:t>S</w:t>
      </w:r>
      <w:r w:rsidRPr="00F9775A">
        <w:rPr>
          <w:rFonts w:ascii="Arial" w:hAnsi="Arial" w:cs="Arial"/>
          <w:sz w:val="24"/>
          <w:szCs w:val="24"/>
        </w:rPr>
        <w:t>TEM demostraron que las fibras están embebidas con N</w:t>
      </w:r>
      <w:r>
        <w:rPr>
          <w:rFonts w:ascii="Arial" w:hAnsi="Arial" w:cs="Arial"/>
          <w:sz w:val="24"/>
          <w:szCs w:val="24"/>
        </w:rPr>
        <w:t>P</w:t>
      </w:r>
      <w:r w:rsidRPr="00F9775A">
        <w:rPr>
          <w:rFonts w:ascii="Arial" w:hAnsi="Arial" w:cs="Arial"/>
          <w:sz w:val="24"/>
          <w:szCs w:val="24"/>
        </w:rPr>
        <w:t>sAg, sin embargo, se observan nanopartículas de entre 80 a 190 nm en la fibra. La adición del polímero promueve la formación de aglomerados debido a que se genera un cambio en la polaridad de los precursores de la solución (Reyes, 2015).</w:t>
      </w:r>
    </w:p>
    <w:p w14:paraId="4AF274BF" w14:textId="48A28BC4" w:rsidR="006B4F3E" w:rsidRPr="00DA1FAC" w:rsidRDefault="00DA1FAC" w:rsidP="0003794E">
      <w:pPr>
        <w:spacing w:line="360" w:lineRule="auto"/>
        <w:jc w:val="both"/>
        <w:rPr>
          <w:rFonts w:ascii="Arial" w:hAnsi="Arial" w:cs="Arial"/>
          <w:b/>
          <w:bCs/>
          <w:sz w:val="24"/>
          <w:szCs w:val="24"/>
        </w:rPr>
      </w:pPr>
      <w:r w:rsidRPr="00DA1FAC">
        <w:rPr>
          <w:rFonts w:ascii="Arial" w:hAnsi="Arial" w:cs="Arial"/>
          <w:b/>
          <w:bCs/>
          <w:sz w:val="24"/>
          <w:szCs w:val="24"/>
        </w:rPr>
        <w:t>Aportaciones</w:t>
      </w:r>
    </w:p>
    <w:p w14:paraId="1C53A448" w14:textId="02DD0B0E" w:rsidR="00197E55" w:rsidRDefault="00197E55" w:rsidP="009A4234">
      <w:pPr>
        <w:spacing w:after="120" w:line="360" w:lineRule="auto"/>
        <w:jc w:val="both"/>
        <w:rPr>
          <w:rFonts w:ascii="Arial" w:hAnsi="Arial" w:cs="Arial"/>
          <w:sz w:val="24"/>
          <w:szCs w:val="24"/>
        </w:rPr>
      </w:pPr>
      <w:r>
        <w:rPr>
          <w:rFonts w:ascii="Arial" w:hAnsi="Arial" w:cs="Arial"/>
          <w:sz w:val="24"/>
          <w:szCs w:val="24"/>
        </w:rPr>
        <w:t xml:space="preserve">Desarrollo de </w:t>
      </w:r>
      <w:r w:rsidRPr="00197E55">
        <w:rPr>
          <w:rFonts w:ascii="Arial" w:hAnsi="Arial" w:cs="Arial"/>
          <w:sz w:val="24"/>
          <w:szCs w:val="24"/>
        </w:rPr>
        <w:t xml:space="preserve">un compósito con </w:t>
      </w:r>
      <w:r>
        <w:rPr>
          <w:rFonts w:ascii="Arial" w:hAnsi="Arial" w:cs="Arial"/>
          <w:sz w:val="24"/>
          <w:szCs w:val="24"/>
        </w:rPr>
        <w:t>PCL-</w:t>
      </w:r>
      <w:r w:rsidRPr="00197E55">
        <w:rPr>
          <w:rFonts w:ascii="Arial" w:hAnsi="Arial" w:cs="Arial"/>
          <w:sz w:val="24"/>
          <w:szCs w:val="24"/>
        </w:rPr>
        <w:t xml:space="preserve">NPsAg </w:t>
      </w:r>
      <w:r w:rsidR="00BD2CC7">
        <w:rPr>
          <w:rFonts w:ascii="Arial" w:hAnsi="Arial" w:cs="Arial"/>
          <w:sz w:val="24"/>
          <w:szCs w:val="24"/>
        </w:rPr>
        <w:t>con propiedades</w:t>
      </w:r>
      <w:r w:rsidRPr="00197E55">
        <w:rPr>
          <w:rFonts w:ascii="Arial" w:hAnsi="Arial" w:cs="Arial"/>
          <w:sz w:val="24"/>
          <w:szCs w:val="24"/>
        </w:rPr>
        <w:t xml:space="preserve"> antimicrobiana</w:t>
      </w:r>
      <w:r w:rsidR="00BD2CC7">
        <w:rPr>
          <w:rFonts w:ascii="Arial" w:hAnsi="Arial" w:cs="Arial"/>
          <w:sz w:val="24"/>
          <w:szCs w:val="24"/>
        </w:rPr>
        <w:t>s</w:t>
      </w:r>
    </w:p>
    <w:p w14:paraId="45749C23" w14:textId="77777777" w:rsidR="00BD2CC7" w:rsidRDefault="00BD2CC7" w:rsidP="0003794E">
      <w:pPr>
        <w:spacing w:line="360" w:lineRule="auto"/>
        <w:jc w:val="both"/>
        <w:rPr>
          <w:rFonts w:ascii="Arial" w:hAnsi="Arial" w:cs="Arial"/>
          <w:sz w:val="24"/>
          <w:szCs w:val="24"/>
        </w:rPr>
      </w:pPr>
    </w:p>
    <w:p w14:paraId="22F1196B" w14:textId="77777777" w:rsidR="00BD2CC7" w:rsidRDefault="00BD2CC7" w:rsidP="0003794E">
      <w:pPr>
        <w:spacing w:line="360" w:lineRule="auto"/>
        <w:jc w:val="both"/>
        <w:rPr>
          <w:rFonts w:ascii="Arial" w:hAnsi="Arial" w:cs="Arial"/>
          <w:sz w:val="24"/>
          <w:szCs w:val="24"/>
        </w:rPr>
      </w:pPr>
    </w:p>
    <w:p w14:paraId="4EB28F50" w14:textId="77777777" w:rsidR="00BD2CC7" w:rsidRDefault="00BD2CC7" w:rsidP="0003794E">
      <w:pPr>
        <w:spacing w:line="360" w:lineRule="auto"/>
        <w:jc w:val="both"/>
        <w:rPr>
          <w:rFonts w:ascii="Arial" w:hAnsi="Arial" w:cs="Arial"/>
          <w:sz w:val="24"/>
          <w:szCs w:val="24"/>
        </w:rPr>
      </w:pPr>
    </w:p>
    <w:p w14:paraId="733FA342" w14:textId="77777777" w:rsidR="00BD2CC7" w:rsidRDefault="00BD2CC7" w:rsidP="0003794E">
      <w:pPr>
        <w:spacing w:line="360" w:lineRule="auto"/>
        <w:jc w:val="both"/>
        <w:rPr>
          <w:rFonts w:ascii="Arial" w:hAnsi="Arial" w:cs="Arial"/>
          <w:sz w:val="24"/>
          <w:szCs w:val="24"/>
        </w:rPr>
      </w:pPr>
    </w:p>
    <w:p w14:paraId="7911526E" w14:textId="3330D3F1" w:rsidR="006B4F3E" w:rsidRDefault="006B4F3E" w:rsidP="0003794E">
      <w:pPr>
        <w:spacing w:line="360" w:lineRule="auto"/>
        <w:jc w:val="both"/>
        <w:rPr>
          <w:rFonts w:ascii="Arial" w:hAnsi="Arial" w:cs="Arial"/>
          <w:sz w:val="24"/>
          <w:szCs w:val="24"/>
        </w:rPr>
      </w:pPr>
      <w:r w:rsidRPr="0003794E">
        <w:rPr>
          <w:rFonts w:ascii="Arial" w:hAnsi="Arial" w:cs="Arial"/>
          <w:sz w:val="24"/>
          <w:szCs w:val="24"/>
        </w:rPr>
        <w:t>REFERENCIAS</w:t>
      </w:r>
    </w:p>
    <w:p w14:paraId="289446D7" w14:textId="77777777" w:rsidR="000529FD" w:rsidRDefault="000529FD" w:rsidP="000529FD">
      <w:pPr>
        <w:spacing w:before="120" w:after="120" w:line="240" w:lineRule="auto"/>
        <w:ind w:left="709" w:hanging="720"/>
        <w:jc w:val="both"/>
        <w:rPr>
          <w:rFonts w:ascii="Arial" w:hAnsi="Arial" w:cs="Arial"/>
          <w:sz w:val="24"/>
          <w:szCs w:val="24"/>
          <w:shd w:val="clear" w:color="auto" w:fill="FFFFFF"/>
        </w:rPr>
      </w:pPr>
      <w:r w:rsidRPr="002769E2">
        <w:rPr>
          <w:rFonts w:ascii="Arial" w:hAnsi="Arial" w:cs="Arial"/>
          <w:sz w:val="24"/>
          <w:szCs w:val="24"/>
          <w:shd w:val="clear" w:color="auto" w:fill="FFFFFF"/>
        </w:rPr>
        <w:t>Espino</w:t>
      </w:r>
      <w:r>
        <w:rPr>
          <w:rFonts w:ascii="Arial" w:hAnsi="Arial" w:cs="Arial"/>
          <w:sz w:val="24"/>
          <w:szCs w:val="24"/>
          <w:shd w:val="clear" w:color="auto" w:fill="FFFFFF"/>
        </w:rPr>
        <w:t>z</w:t>
      </w:r>
      <w:r w:rsidRPr="002769E2">
        <w:rPr>
          <w:rFonts w:ascii="Arial" w:hAnsi="Arial" w:cs="Arial"/>
          <w:sz w:val="24"/>
          <w:szCs w:val="24"/>
          <w:shd w:val="clear" w:color="auto" w:fill="FFFFFF"/>
        </w:rPr>
        <w:t xml:space="preserve">a-Cristóbal, L. F., Martínez-Castañón, G. A., Martinez-Martinez, R. E., Loyola-Rodriguez, J. P., Patino-Marin, N., Reyes-Macias, J. F., &amp; Ruiz, F. </w:t>
      </w:r>
      <w:r w:rsidRPr="002769E2">
        <w:rPr>
          <w:rFonts w:ascii="Arial" w:hAnsi="Arial" w:cs="Arial"/>
          <w:b/>
          <w:sz w:val="24"/>
          <w:szCs w:val="24"/>
          <w:shd w:val="clear" w:color="auto" w:fill="FFFFFF"/>
        </w:rPr>
        <w:t>2009</w:t>
      </w:r>
      <w:r w:rsidRPr="002769E2">
        <w:rPr>
          <w:rFonts w:ascii="Arial" w:hAnsi="Arial" w:cs="Arial"/>
          <w:sz w:val="24"/>
          <w:szCs w:val="24"/>
          <w:shd w:val="clear" w:color="auto" w:fill="FFFFFF"/>
        </w:rPr>
        <w:t xml:space="preserve">. </w:t>
      </w:r>
      <w:r w:rsidRPr="002769E2">
        <w:rPr>
          <w:rFonts w:ascii="Arial" w:hAnsi="Arial" w:cs="Arial"/>
          <w:sz w:val="24"/>
          <w:szCs w:val="24"/>
          <w:shd w:val="clear" w:color="auto" w:fill="FFFFFF"/>
          <w:lang w:val="en-US"/>
        </w:rPr>
        <w:t xml:space="preserve">Antibacterial effect of silver nanoparticles against </w:t>
      </w:r>
      <w:r w:rsidRPr="002769E2">
        <w:rPr>
          <w:rFonts w:ascii="Arial" w:hAnsi="Arial" w:cs="Arial"/>
          <w:i/>
          <w:sz w:val="24"/>
          <w:szCs w:val="24"/>
          <w:shd w:val="clear" w:color="auto" w:fill="FFFFFF"/>
          <w:lang w:val="en-US"/>
        </w:rPr>
        <w:t>Streptococcus mutans</w:t>
      </w:r>
      <w:r w:rsidRPr="002769E2">
        <w:rPr>
          <w:rFonts w:ascii="Arial" w:hAnsi="Arial" w:cs="Arial"/>
          <w:sz w:val="24"/>
          <w:szCs w:val="24"/>
          <w:shd w:val="clear" w:color="auto" w:fill="FFFFFF"/>
          <w:lang w:val="en-US"/>
        </w:rPr>
        <w:t>.</w:t>
      </w:r>
      <w:r w:rsidRPr="002769E2">
        <w:rPr>
          <w:rStyle w:val="apple-converted-space"/>
          <w:rFonts w:ascii="Arial" w:hAnsi="Arial" w:cs="Arial"/>
          <w:sz w:val="24"/>
          <w:szCs w:val="24"/>
          <w:shd w:val="clear" w:color="auto" w:fill="FFFFFF"/>
          <w:lang w:val="en-US"/>
        </w:rPr>
        <w:t xml:space="preserve"> </w:t>
      </w:r>
      <w:r w:rsidRPr="002769E2">
        <w:rPr>
          <w:rFonts w:ascii="Arial" w:hAnsi="Arial" w:cs="Arial"/>
          <w:i/>
          <w:iCs/>
          <w:sz w:val="24"/>
          <w:szCs w:val="24"/>
          <w:shd w:val="clear" w:color="auto" w:fill="FFFFFF"/>
          <w:lang w:val="en-US"/>
        </w:rPr>
        <w:t>Materials Letters</w:t>
      </w:r>
      <w:r w:rsidRPr="002769E2">
        <w:rPr>
          <w:rFonts w:ascii="Arial" w:hAnsi="Arial" w:cs="Arial"/>
          <w:sz w:val="24"/>
          <w:szCs w:val="24"/>
          <w:shd w:val="clear" w:color="auto" w:fill="FFFFFF"/>
          <w:lang w:val="en-US"/>
        </w:rPr>
        <w:t>.</w:t>
      </w:r>
      <w:r w:rsidRPr="002769E2">
        <w:rPr>
          <w:rStyle w:val="apple-converted-space"/>
          <w:rFonts w:ascii="Arial" w:hAnsi="Arial" w:cs="Arial"/>
          <w:sz w:val="24"/>
          <w:szCs w:val="24"/>
          <w:shd w:val="clear" w:color="auto" w:fill="FFFFFF"/>
          <w:lang w:val="en-US"/>
        </w:rPr>
        <w:t xml:space="preserve"> </w:t>
      </w:r>
      <w:r w:rsidRPr="00843A15">
        <w:rPr>
          <w:rFonts w:ascii="Arial" w:hAnsi="Arial" w:cs="Arial"/>
          <w:i/>
          <w:iCs/>
          <w:sz w:val="24"/>
          <w:szCs w:val="24"/>
          <w:shd w:val="clear" w:color="auto" w:fill="FFFFFF"/>
        </w:rPr>
        <w:t>63</w:t>
      </w:r>
      <w:r w:rsidRPr="00843A15">
        <w:rPr>
          <w:rFonts w:ascii="Arial" w:hAnsi="Arial" w:cs="Arial"/>
          <w:sz w:val="24"/>
          <w:szCs w:val="24"/>
          <w:shd w:val="clear" w:color="auto" w:fill="FFFFFF"/>
        </w:rPr>
        <w:t>(29), 2603-2606.</w:t>
      </w:r>
    </w:p>
    <w:p w14:paraId="5B6E69C4" w14:textId="77777777" w:rsidR="000529FD" w:rsidRDefault="000529FD" w:rsidP="000529FD">
      <w:pPr>
        <w:spacing w:before="120" w:after="120" w:line="240" w:lineRule="auto"/>
        <w:ind w:left="709" w:hanging="720"/>
        <w:jc w:val="both"/>
        <w:rPr>
          <w:rFonts w:ascii="Arial" w:hAnsi="Arial" w:cs="Arial"/>
          <w:sz w:val="24"/>
          <w:szCs w:val="24"/>
        </w:rPr>
      </w:pPr>
      <w:r w:rsidRPr="002769E2">
        <w:rPr>
          <w:rFonts w:ascii="Arial" w:hAnsi="Arial" w:cs="Arial"/>
          <w:sz w:val="24"/>
          <w:szCs w:val="24"/>
        </w:rPr>
        <w:t xml:space="preserve">Fernández Riverón, F., López Hernández, J., Ponce Martínez, L. M., y Machado Betarte, C. </w:t>
      </w:r>
      <w:r w:rsidRPr="002769E2">
        <w:rPr>
          <w:rFonts w:ascii="Arial" w:hAnsi="Arial" w:cs="Arial"/>
          <w:b/>
          <w:sz w:val="24"/>
          <w:szCs w:val="24"/>
        </w:rPr>
        <w:t>2003</w:t>
      </w:r>
      <w:r w:rsidRPr="002769E2">
        <w:rPr>
          <w:rFonts w:ascii="Arial" w:hAnsi="Arial" w:cs="Arial"/>
          <w:sz w:val="24"/>
          <w:szCs w:val="24"/>
        </w:rPr>
        <w:t>. Resistencia bacteriana</w:t>
      </w:r>
      <w:r w:rsidRPr="002769E2">
        <w:rPr>
          <w:rFonts w:ascii="Arial" w:hAnsi="Arial" w:cs="Arial"/>
          <w:i/>
          <w:sz w:val="24"/>
          <w:szCs w:val="24"/>
        </w:rPr>
        <w:t>.</w:t>
      </w:r>
      <w:r>
        <w:rPr>
          <w:rFonts w:ascii="Arial" w:hAnsi="Arial" w:cs="Arial"/>
          <w:i/>
          <w:sz w:val="24"/>
          <w:szCs w:val="24"/>
        </w:rPr>
        <w:t xml:space="preserve"> </w:t>
      </w:r>
      <w:r w:rsidRPr="002769E2">
        <w:rPr>
          <w:rFonts w:ascii="Arial" w:hAnsi="Arial" w:cs="Arial"/>
          <w:i/>
          <w:sz w:val="24"/>
          <w:szCs w:val="24"/>
        </w:rPr>
        <w:t>Revista Cubana de Medicina Militar.</w:t>
      </w:r>
      <w:r>
        <w:rPr>
          <w:rFonts w:ascii="Arial" w:hAnsi="Arial" w:cs="Arial"/>
          <w:i/>
          <w:sz w:val="24"/>
          <w:szCs w:val="24"/>
        </w:rPr>
        <w:t xml:space="preserve"> </w:t>
      </w:r>
      <w:r w:rsidRPr="002769E2">
        <w:rPr>
          <w:rFonts w:ascii="Arial" w:hAnsi="Arial" w:cs="Arial"/>
          <w:sz w:val="24"/>
          <w:szCs w:val="24"/>
        </w:rPr>
        <w:t>32</w:t>
      </w:r>
      <w:r>
        <w:rPr>
          <w:rFonts w:ascii="Arial" w:hAnsi="Arial" w:cs="Arial"/>
          <w:sz w:val="24"/>
          <w:szCs w:val="24"/>
        </w:rPr>
        <w:t xml:space="preserve"> </w:t>
      </w:r>
      <w:r w:rsidRPr="002769E2">
        <w:rPr>
          <w:rFonts w:ascii="Arial" w:hAnsi="Arial" w:cs="Arial"/>
          <w:sz w:val="24"/>
          <w:szCs w:val="24"/>
        </w:rPr>
        <w:t>(1), 0-0.</w:t>
      </w:r>
    </w:p>
    <w:p w14:paraId="35DC5EDE" w14:textId="77777777" w:rsidR="00002D1B" w:rsidRPr="00002D1B" w:rsidRDefault="00002D1B" w:rsidP="00002D1B">
      <w:pPr>
        <w:spacing w:before="120" w:after="120" w:line="240" w:lineRule="auto"/>
        <w:ind w:left="709" w:hanging="720"/>
        <w:jc w:val="both"/>
        <w:rPr>
          <w:rFonts w:ascii="Arial" w:hAnsi="Arial" w:cs="Arial"/>
          <w:sz w:val="24"/>
          <w:szCs w:val="24"/>
          <w:shd w:val="clear" w:color="auto" w:fill="FFFFFF"/>
          <w:lang w:val="en-US"/>
        </w:rPr>
      </w:pPr>
      <w:r w:rsidRPr="002769E2">
        <w:rPr>
          <w:rFonts w:ascii="Arial" w:hAnsi="Arial" w:cs="Arial"/>
          <w:sz w:val="24"/>
          <w:szCs w:val="24"/>
          <w:shd w:val="clear" w:color="auto" w:fill="FFFFFF"/>
        </w:rPr>
        <w:t xml:space="preserve">Martínez Castañón, G. A., Nino-Martínez, N., Martínez-Gutiérrez, F., Martínez-Mendoza, J. R., y Ruiz, F. </w:t>
      </w:r>
      <w:r w:rsidRPr="002769E2">
        <w:rPr>
          <w:rFonts w:ascii="Arial" w:hAnsi="Arial" w:cs="Arial"/>
          <w:b/>
          <w:sz w:val="24"/>
          <w:szCs w:val="24"/>
          <w:shd w:val="clear" w:color="auto" w:fill="FFFFFF"/>
        </w:rPr>
        <w:t>2008</w:t>
      </w:r>
      <w:r w:rsidRPr="002769E2">
        <w:rPr>
          <w:rFonts w:ascii="Arial" w:hAnsi="Arial" w:cs="Arial"/>
          <w:sz w:val="24"/>
          <w:szCs w:val="24"/>
          <w:shd w:val="clear" w:color="auto" w:fill="FFFFFF"/>
        </w:rPr>
        <w:t xml:space="preserve">. </w:t>
      </w:r>
      <w:r w:rsidRPr="002769E2">
        <w:rPr>
          <w:rFonts w:ascii="Arial" w:hAnsi="Arial" w:cs="Arial"/>
          <w:sz w:val="24"/>
          <w:szCs w:val="24"/>
          <w:shd w:val="clear" w:color="auto" w:fill="FFFFFF"/>
          <w:lang w:val="en-US"/>
        </w:rPr>
        <w:t>Synthesis and antibacterial activity of silver nanoparticles with different sizes.</w:t>
      </w:r>
      <w:r w:rsidRPr="002769E2">
        <w:rPr>
          <w:rStyle w:val="apple-converted-space"/>
          <w:rFonts w:ascii="Arial" w:hAnsi="Arial" w:cs="Arial"/>
          <w:sz w:val="24"/>
          <w:szCs w:val="24"/>
          <w:shd w:val="clear" w:color="auto" w:fill="FFFFFF"/>
          <w:lang w:val="en-US"/>
        </w:rPr>
        <w:t xml:space="preserve"> </w:t>
      </w:r>
      <w:r w:rsidRPr="002769E2">
        <w:rPr>
          <w:rFonts w:ascii="Arial" w:hAnsi="Arial" w:cs="Arial"/>
          <w:i/>
          <w:iCs/>
          <w:sz w:val="24"/>
          <w:szCs w:val="24"/>
          <w:shd w:val="clear" w:color="auto" w:fill="FFFFFF"/>
          <w:lang w:val="en-US"/>
        </w:rPr>
        <w:t>Journal of Nanoparticle Research</w:t>
      </w:r>
      <w:r w:rsidRPr="002769E2">
        <w:rPr>
          <w:rFonts w:ascii="Arial" w:hAnsi="Arial" w:cs="Arial"/>
          <w:sz w:val="24"/>
          <w:szCs w:val="24"/>
          <w:shd w:val="clear" w:color="auto" w:fill="FFFFFF"/>
          <w:lang w:val="en-US"/>
        </w:rPr>
        <w:t>,</w:t>
      </w:r>
      <w:r w:rsidRPr="002769E2">
        <w:rPr>
          <w:rStyle w:val="apple-converted-space"/>
          <w:rFonts w:ascii="Arial" w:hAnsi="Arial" w:cs="Arial"/>
          <w:sz w:val="24"/>
          <w:szCs w:val="24"/>
          <w:shd w:val="clear" w:color="auto" w:fill="FFFFFF"/>
          <w:lang w:val="en-US"/>
        </w:rPr>
        <w:t xml:space="preserve"> </w:t>
      </w:r>
      <w:r w:rsidRPr="002769E2">
        <w:rPr>
          <w:rFonts w:ascii="Arial" w:hAnsi="Arial" w:cs="Arial"/>
          <w:i/>
          <w:iCs/>
          <w:sz w:val="24"/>
          <w:szCs w:val="24"/>
          <w:shd w:val="clear" w:color="auto" w:fill="FFFFFF"/>
          <w:lang w:val="en-US"/>
        </w:rPr>
        <w:t>10</w:t>
      </w:r>
      <w:r w:rsidRPr="002769E2">
        <w:rPr>
          <w:rFonts w:ascii="Arial" w:hAnsi="Arial" w:cs="Arial"/>
          <w:sz w:val="24"/>
          <w:szCs w:val="24"/>
          <w:shd w:val="clear" w:color="auto" w:fill="FFFFFF"/>
          <w:lang w:val="en-US"/>
        </w:rPr>
        <w:t>(8), 1343-1348.</w:t>
      </w:r>
    </w:p>
    <w:p w14:paraId="62303C3E" w14:textId="77777777" w:rsidR="000529FD" w:rsidRDefault="000529FD" w:rsidP="000529FD">
      <w:pPr>
        <w:spacing w:before="120" w:after="120" w:line="240" w:lineRule="auto"/>
        <w:ind w:left="709" w:hanging="720"/>
        <w:jc w:val="both"/>
        <w:rPr>
          <w:rFonts w:ascii="Arial" w:hAnsi="Arial" w:cs="Arial"/>
          <w:sz w:val="24"/>
          <w:szCs w:val="24"/>
          <w:shd w:val="clear" w:color="auto" w:fill="FFFFFF"/>
          <w:lang w:val="en-US"/>
        </w:rPr>
      </w:pPr>
      <w:r w:rsidRPr="00924B43">
        <w:rPr>
          <w:rFonts w:ascii="Arial" w:hAnsi="Arial" w:cs="Arial"/>
          <w:sz w:val="24"/>
          <w:szCs w:val="24"/>
          <w:shd w:val="clear" w:color="auto" w:fill="FFFFFF"/>
        </w:rPr>
        <w:t xml:space="preserve">Nirmala, R., Kang, H. S., Park, H. M., Navamathavan, R., Jeong, I. S., y Kim, H. Y. </w:t>
      </w:r>
      <w:r w:rsidRPr="00924B43">
        <w:rPr>
          <w:rFonts w:ascii="Arial" w:hAnsi="Arial" w:cs="Arial"/>
          <w:b/>
          <w:sz w:val="24"/>
          <w:szCs w:val="24"/>
          <w:shd w:val="clear" w:color="auto" w:fill="FFFFFF"/>
        </w:rPr>
        <w:t>2012</w:t>
      </w:r>
      <w:r w:rsidRPr="00924B43">
        <w:rPr>
          <w:rFonts w:ascii="Arial" w:hAnsi="Arial" w:cs="Arial"/>
          <w:sz w:val="24"/>
          <w:szCs w:val="24"/>
          <w:shd w:val="clear" w:color="auto" w:fill="FFFFFF"/>
        </w:rPr>
        <w:t xml:space="preserve">. </w:t>
      </w:r>
      <w:r w:rsidRPr="002769E2">
        <w:rPr>
          <w:rFonts w:ascii="Arial" w:hAnsi="Arial" w:cs="Arial"/>
          <w:sz w:val="24"/>
          <w:szCs w:val="24"/>
          <w:shd w:val="clear" w:color="auto" w:fill="FFFFFF"/>
          <w:lang w:val="en-US"/>
        </w:rPr>
        <w:t>Silver-Loaded Biomimetic Hydroxyapatite Grafted Poly (</w:t>
      </w:r>
      <w:r w:rsidRPr="002769E2">
        <w:rPr>
          <w:rFonts w:ascii="Arial" w:hAnsi="Arial" w:cs="Arial"/>
          <w:sz w:val="24"/>
          <w:szCs w:val="24"/>
          <w:shd w:val="clear" w:color="auto" w:fill="FFFFFF"/>
        </w:rPr>
        <w:t>ε</w:t>
      </w:r>
      <w:r w:rsidRPr="002769E2">
        <w:rPr>
          <w:rFonts w:ascii="Arial" w:hAnsi="Arial" w:cs="Arial"/>
          <w:sz w:val="24"/>
          <w:szCs w:val="24"/>
          <w:shd w:val="clear" w:color="auto" w:fill="FFFFFF"/>
          <w:lang w:val="en-US"/>
        </w:rPr>
        <w:t>-caprolactone) Composite Nanofibers: A Cytotoxicity Study.</w:t>
      </w:r>
      <w:r w:rsidRPr="002769E2">
        <w:rPr>
          <w:rStyle w:val="apple-converted-space"/>
          <w:rFonts w:ascii="Arial" w:hAnsi="Arial" w:cs="Arial"/>
          <w:sz w:val="24"/>
          <w:szCs w:val="24"/>
          <w:shd w:val="clear" w:color="auto" w:fill="FFFFFF"/>
          <w:lang w:val="en-US"/>
        </w:rPr>
        <w:t xml:space="preserve"> </w:t>
      </w:r>
      <w:r w:rsidRPr="002769E2">
        <w:rPr>
          <w:rFonts w:ascii="Arial" w:hAnsi="Arial" w:cs="Arial"/>
          <w:i/>
          <w:iCs/>
          <w:sz w:val="24"/>
          <w:szCs w:val="24"/>
          <w:shd w:val="clear" w:color="auto" w:fill="FFFFFF"/>
          <w:lang w:val="en-US"/>
        </w:rPr>
        <w:t>Journal of biomedical nanotechnology</w:t>
      </w:r>
      <w:r w:rsidRPr="002769E2">
        <w:rPr>
          <w:rFonts w:ascii="Arial" w:hAnsi="Arial" w:cs="Arial"/>
          <w:sz w:val="24"/>
          <w:szCs w:val="24"/>
          <w:shd w:val="clear" w:color="auto" w:fill="FFFFFF"/>
          <w:lang w:val="en-US"/>
        </w:rPr>
        <w:t>,</w:t>
      </w:r>
      <w:r w:rsidRPr="002769E2">
        <w:rPr>
          <w:rStyle w:val="apple-converted-space"/>
          <w:rFonts w:ascii="Arial" w:hAnsi="Arial" w:cs="Arial"/>
          <w:sz w:val="24"/>
          <w:szCs w:val="24"/>
          <w:shd w:val="clear" w:color="auto" w:fill="FFFFFF"/>
          <w:lang w:val="en-US"/>
        </w:rPr>
        <w:t xml:space="preserve"> </w:t>
      </w:r>
      <w:r w:rsidRPr="002769E2">
        <w:rPr>
          <w:rFonts w:ascii="Arial" w:hAnsi="Arial" w:cs="Arial"/>
          <w:i/>
          <w:iCs/>
          <w:sz w:val="24"/>
          <w:szCs w:val="24"/>
          <w:shd w:val="clear" w:color="auto" w:fill="FFFFFF"/>
          <w:lang w:val="en-US"/>
        </w:rPr>
        <w:t>8</w:t>
      </w:r>
      <w:r w:rsidRPr="002769E2">
        <w:rPr>
          <w:rFonts w:ascii="Arial" w:hAnsi="Arial" w:cs="Arial"/>
          <w:sz w:val="24"/>
          <w:szCs w:val="24"/>
          <w:shd w:val="clear" w:color="auto" w:fill="FFFFFF"/>
          <w:lang w:val="en-US"/>
        </w:rPr>
        <w:t>(1), 125-132.</w:t>
      </w:r>
    </w:p>
    <w:p w14:paraId="6F840F4E" w14:textId="77777777" w:rsidR="00002D1B" w:rsidRPr="00002D1B" w:rsidRDefault="00002D1B" w:rsidP="00002D1B">
      <w:pPr>
        <w:spacing w:before="120" w:after="120" w:line="240" w:lineRule="auto"/>
        <w:ind w:left="709" w:hanging="720"/>
        <w:jc w:val="both"/>
        <w:rPr>
          <w:rFonts w:ascii="Arial" w:hAnsi="Arial" w:cs="Arial"/>
          <w:sz w:val="24"/>
          <w:szCs w:val="24"/>
          <w:shd w:val="clear" w:color="auto" w:fill="FFFFFF"/>
        </w:rPr>
      </w:pPr>
      <w:r w:rsidRPr="002769E2">
        <w:rPr>
          <w:rFonts w:ascii="Arial" w:hAnsi="Arial" w:cs="Arial"/>
          <w:sz w:val="24"/>
          <w:szCs w:val="24"/>
          <w:shd w:val="clear" w:color="auto" w:fill="FFFFFF"/>
        </w:rPr>
        <w:t xml:space="preserve">Ojeda-Garcés, J. C., Oviedo-García, E., y Salas, L. A. </w:t>
      </w:r>
      <w:r w:rsidRPr="002769E2">
        <w:rPr>
          <w:rFonts w:ascii="Arial" w:hAnsi="Arial" w:cs="Arial"/>
          <w:b/>
          <w:sz w:val="24"/>
          <w:szCs w:val="24"/>
          <w:shd w:val="clear" w:color="auto" w:fill="FFFFFF"/>
        </w:rPr>
        <w:t>2013</w:t>
      </w:r>
      <w:r w:rsidRPr="002769E2">
        <w:rPr>
          <w:rFonts w:ascii="Arial" w:hAnsi="Arial" w:cs="Arial"/>
          <w:sz w:val="24"/>
          <w:szCs w:val="24"/>
          <w:shd w:val="clear" w:color="auto" w:fill="FFFFFF"/>
        </w:rPr>
        <w:t xml:space="preserve">. </w:t>
      </w:r>
      <w:r w:rsidRPr="002769E2">
        <w:rPr>
          <w:rFonts w:ascii="Arial" w:hAnsi="Arial" w:cs="Arial"/>
          <w:i/>
          <w:sz w:val="24"/>
          <w:szCs w:val="24"/>
          <w:shd w:val="clear" w:color="auto" w:fill="FFFFFF"/>
        </w:rPr>
        <w:t>Streptococcus mutans</w:t>
      </w:r>
      <w:r w:rsidRPr="002769E2">
        <w:rPr>
          <w:rFonts w:ascii="Arial" w:hAnsi="Arial" w:cs="Arial"/>
          <w:sz w:val="24"/>
          <w:szCs w:val="24"/>
          <w:shd w:val="clear" w:color="auto" w:fill="FFFFFF"/>
        </w:rPr>
        <w:t xml:space="preserve"> y caries dental.</w:t>
      </w:r>
      <w:r w:rsidRPr="002769E2">
        <w:rPr>
          <w:rStyle w:val="apple-converted-space"/>
          <w:rFonts w:ascii="Arial" w:hAnsi="Arial" w:cs="Arial"/>
          <w:sz w:val="24"/>
          <w:szCs w:val="24"/>
          <w:shd w:val="clear" w:color="auto" w:fill="FFFFFF"/>
        </w:rPr>
        <w:t xml:space="preserve"> </w:t>
      </w:r>
      <w:r w:rsidRPr="002769E2">
        <w:rPr>
          <w:rFonts w:ascii="Arial" w:hAnsi="Arial" w:cs="Arial"/>
          <w:i/>
          <w:iCs/>
          <w:sz w:val="24"/>
          <w:szCs w:val="24"/>
          <w:shd w:val="clear" w:color="auto" w:fill="FFFFFF"/>
        </w:rPr>
        <w:t>CES Odontología</w:t>
      </w:r>
      <w:r w:rsidRPr="002769E2">
        <w:rPr>
          <w:rFonts w:ascii="Arial" w:hAnsi="Arial" w:cs="Arial"/>
          <w:sz w:val="24"/>
          <w:szCs w:val="24"/>
          <w:shd w:val="clear" w:color="auto" w:fill="FFFFFF"/>
        </w:rPr>
        <w:t>,</w:t>
      </w:r>
      <w:r w:rsidRPr="002769E2">
        <w:rPr>
          <w:rStyle w:val="apple-converted-space"/>
          <w:rFonts w:ascii="Arial" w:hAnsi="Arial" w:cs="Arial"/>
          <w:sz w:val="24"/>
          <w:szCs w:val="24"/>
          <w:shd w:val="clear" w:color="auto" w:fill="FFFFFF"/>
        </w:rPr>
        <w:t xml:space="preserve"> </w:t>
      </w:r>
      <w:r w:rsidRPr="002769E2">
        <w:rPr>
          <w:rFonts w:ascii="Arial" w:hAnsi="Arial" w:cs="Arial"/>
          <w:i/>
          <w:iCs/>
          <w:sz w:val="24"/>
          <w:szCs w:val="24"/>
          <w:shd w:val="clear" w:color="auto" w:fill="FFFFFF"/>
        </w:rPr>
        <w:t>26</w:t>
      </w:r>
      <w:r w:rsidRPr="002769E2">
        <w:rPr>
          <w:rFonts w:ascii="Arial" w:hAnsi="Arial" w:cs="Arial"/>
          <w:sz w:val="24"/>
          <w:szCs w:val="24"/>
          <w:shd w:val="clear" w:color="auto" w:fill="FFFFFF"/>
        </w:rPr>
        <w:t>(1), 44-56.</w:t>
      </w:r>
    </w:p>
    <w:p w14:paraId="384C1C0C" w14:textId="77777777" w:rsidR="000529FD" w:rsidRDefault="000529FD" w:rsidP="000529FD">
      <w:pPr>
        <w:spacing w:before="120" w:after="120" w:line="240" w:lineRule="auto"/>
        <w:ind w:left="709" w:hanging="720"/>
        <w:jc w:val="both"/>
        <w:rPr>
          <w:rFonts w:ascii="Arial" w:hAnsi="Arial" w:cs="Arial"/>
          <w:sz w:val="24"/>
          <w:szCs w:val="24"/>
          <w:shd w:val="clear" w:color="auto" w:fill="FFFFFF"/>
          <w:lang w:val="en-US"/>
        </w:rPr>
      </w:pPr>
      <w:r w:rsidRPr="00002D1B">
        <w:rPr>
          <w:rFonts w:ascii="Arial" w:hAnsi="Arial" w:cs="Arial"/>
          <w:sz w:val="24"/>
          <w:szCs w:val="24"/>
          <w:shd w:val="clear" w:color="auto" w:fill="FFFFFF"/>
        </w:rPr>
        <w:t xml:space="preserve">Panáček, A., Kvitek, L., Prucek, R., Kolar, M., Vecerova, R., Pizurova, N., y Zboril, R. </w:t>
      </w:r>
      <w:r w:rsidRPr="00002D1B">
        <w:rPr>
          <w:rFonts w:ascii="Arial" w:hAnsi="Arial" w:cs="Arial"/>
          <w:b/>
          <w:sz w:val="24"/>
          <w:szCs w:val="24"/>
          <w:shd w:val="clear" w:color="auto" w:fill="FFFFFF"/>
        </w:rPr>
        <w:t>2006</w:t>
      </w:r>
      <w:r w:rsidRPr="00002D1B">
        <w:rPr>
          <w:rFonts w:ascii="Arial" w:hAnsi="Arial" w:cs="Arial"/>
          <w:sz w:val="24"/>
          <w:szCs w:val="24"/>
          <w:shd w:val="clear" w:color="auto" w:fill="FFFFFF"/>
        </w:rPr>
        <w:t xml:space="preserve">. </w:t>
      </w:r>
      <w:r w:rsidRPr="002769E2">
        <w:rPr>
          <w:rFonts w:ascii="Arial" w:hAnsi="Arial" w:cs="Arial"/>
          <w:sz w:val="24"/>
          <w:szCs w:val="24"/>
          <w:shd w:val="clear" w:color="auto" w:fill="FFFFFF"/>
          <w:lang w:val="en-US"/>
        </w:rPr>
        <w:t>Silver colloid nanoparticles: synthesis, characterization, and their antibacterial activity.</w:t>
      </w:r>
      <w:r w:rsidRPr="002769E2">
        <w:rPr>
          <w:rStyle w:val="apple-converted-space"/>
          <w:rFonts w:ascii="Arial" w:hAnsi="Arial" w:cs="Arial"/>
          <w:sz w:val="24"/>
          <w:szCs w:val="24"/>
          <w:shd w:val="clear" w:color="auto" w:fill="FFFFFF"/>
          <w:lang w:val="en-US"/>
        </w:rPr>
        <w:t xml:space="preserve"> </w:t>
      </w:r>
      <w:r w:rsidRPr="002769E2">
        <w:rPr>
          <w:rFonts w:ascii="Arial" w:hAnsi="Arial" w:cs="Arial"/>
          <w:i/>
          <w:iCs/>
          <w:sz w:val="24"/>
          <w:szCs w:val="24"/>
          <w:shd w:val="clear" w:color="auto" w:fill="FFFFFF"/>
          <w:lang w:val="en-US"/>
        </w:rPr>
        <w:t>The Journal of Physical Chemistry B</w:t>
      </w:r>
      <w:r w:rsidRPr="002769E2">
        <w:rPr>
          <w:rFonts w:ascii="Arial" w:hAnsi="Arial" w:cs="Arial"/>
          <w:sz w:val="24"/>
          <w:szCs w:val="24"/>
          <w:shd w:val="clear" w:color="auto" w:fill="FFFFFF"/>
          <w:lang w:val="en-US"/>
        </w:rPr>
        <w:t>,</w:t>
      </w:r>
      <w:r w:rsidRPr="002769E2">
        <w:rPr>
          <w:rStyle w:val="apple-converted-space"/>
          <w:rFonts w:ascii="Arial" w:hAnsi="Arial" w:cs="Arial"/>
          <w:sz w:val="24"/>
          <w:szCs w:val="24"/>
          <w:shd w:val="clear" w:color="auto" w:fill="FFFFFF"/>
          <w:lang w:val="en-US"/>
        </w:rPr>
        <w:t xml:space="preserve"> </w:t>
      </w:r>
      <w:r w:rsidRPr="002769E2">
        <w:rPr>
          <w:rFonts w:ascii="Arial" w:hAnsi="Arial" w:cs="Arial"/>
          <w:i/>
          <w:iCs/>
          <w:sz w:val="24"/>
          <w:szCs w:val="24"/>
          <w:shd w:val="clear" w:color="auto" w:fill="FFFFFF"/>
          <w:lang w:val="en-US"/>
        </w:rPr>
        <w:t>110</w:t>
      </w:r>
      <w:r w:rsidRPr="002769E2">
        <w:rPr>
          <w:rFonts w:ascii="Arial" w:hAnsi="Arial" w:cs="Arial"/>
          <w:sz w:val="24"/>
          <w:szCs w:val="24"/>
          <w:shd w:val="clear" w:color="auto" w:fill="FFFFFF"/>
          <w:lang w:val="en-US"/>
        </w:rPr>
        <w:t>(33), 16248-16253.</w:t>
      </w:r>
    </w:p>
    <w:p w14:paraId="5ADCC3D0" w14:textId="77777777" w:rsidR="00CF5016" w:rsidRDefault="00CF5016" w:rsidP="00CF5016">
      <w:pPr>
        <w:spacing w:before="120" w:after="120" w:line="240" w:lineRule="auto"/>
        <w:ind w:left="709" w:hanging="720"/>
        <w:jc w:val="both"/>
        <w:rPr>
          <w:rFonts w:ascii="Arial" w:hAnsi="Arial" w:cs="Arial"/>
          <w:sz w:val="24"/>
          <w:szCs w:val="24"/>
          <w:shd w:val="clear" w:color="auto" w:fill="FFFFFF"/>
          <w:lang w:val="en-US"/>
        </w:rPr>
      </w:pPr>
      <w:r w:rsidRPr="002769E2">
        <w:rPr>
          <w:rFonts w:ascii="Arial" w:hAnsi="Arial" w:cs="Arial"/>
          <w:sz w:val="24"/>
          <w:szCs w:val="24"/>
          <w:shd w:val="clear" w:color="auto" w:fill="FFFFFF"/>
          <w:lang w:val="en-US"/>
        </w:rPr>
        <w:t xml:space="preserve">Panacek, E. A, Holmes, J. F., Sokolove, P. E., </w:t>
      </w:r>
      <w:r w:rsidRPr="002769E2">
        <w:rPr>
          <w:rFonts w:ascii="Arial" w:hAnsi="Arial" w:cs="Arial"/>
          <w:b/>
          <w:sz w:val="24"/>
          <w:szCs w:val="24"/>
          <w:shd w:val="clear" w:color="auto" w:fill="FFFFFF"/>
          <w:lang w:val="en-US"/>
        </w:rPr>
        <w:t>2006</w:t>
      </w:r>
      <w:r w:rsidRPr="002769E2">
        <w:rPr>
          <w:rFonts w:ascii="Arial" w:hAnsi="Arial" w:cs="Arial"/>
          <w:sz w:val="24"/>
          <w:szCs w:val="24"/>
          <w:shd w:val="clear" w:color="auto" w:fill="FFFFFF"/>
          <w:lang w:val="en-US"/>
        </w:rPr>
        <w:t>. Ten</w:t>
      </w:r>
      <w:r w:rsidRPr="002769E2">
        <w:rPr>
          <w:rFonts w:ascii="Cambria Math" w:hAnsi="Cambria Math" w:cs="Cambria Math"/>
          <w:sz w:val="24"/>
          <w:szCs w:val="24"/>
          <w:shd w:val="clear" w:color="auto" w:fill="FFFFFF"/>
          <w:lang w:val="en-US"/>
        </w:rPr>
        <w:t>‐</w:t>
      </w:r>
      <w:r w:rsidRPr="002769E2">
        <w:rPr>
          <w:rFonts w:ascii="Arial" w:hAnsi="Arial" w:cs="Arial"/>
          <w:sz w:val="24"/>
          <w:szCs w:val="24"/>
          <w:shd w:val="clear" w:color="auto" w:fill="FFFFFF"/>
          <w:lang w:val="en-US"/>
        </w:rPr>
        <w:t>year Experience with an Emergency Medicine Resident Research Project Requirement.</w:t>
      </w:r>
      <w:r w:rsidRPr="002769E2">
        <w:rPr>
          <w:rFonts w:ascii="Arial" w:hAnsi="Arial" w:cs="Arial"/>
          <w:i/>
          <w:iCs/>
          <w:sz w:val="24"/>
          <w:szCs w:val="24"/>
          <w:shd w:val="clear" w:color="auto" w:fill="FFFFFF"/>
          <w:lang w:val="en-US"/>
        </w:rPr>
        <w:t>Academic emergency medicine</w:t>
      </w:r>
      <w:r w:rsidRPr="002769E2">
        <w:rPr>
          <w:rFonts w:ascii="Arial" w:hAnsi="Arial" w:cs="Arial"/>
          <w:sz w:val="24"/>
          <w:szCs w:val="24"/>
          <w:shd w:val="clear" w:color="auto" w:fill="FFFFFF"/>
          <w:lang w:val="en-US"/>
        </w:rPr>
        <w:t>,</w:t>
      </w:r>
      <w:r w:rsidRPr="002769E2">
        <w:rPr>
          <w:rStyle w:val="apple-converted-space"/>
          <w:rFonts w:ascii="Arial" w:hAnsi="Arial" w:cs="Arial"/>
          <w:sz w:val="24"/>
          <w:szCs w:val="24"/>
          <w:shd w:val="clear" w:color="auto" w:fill="FFFFFF"/>
          <w:lang w:val="en-US"/>
        </w:rPr>
        <w:t xml:space="preserve"> </w:t>
      </w:r>
      <w:r w:rsidRPr="002769E2">
        <w:rPr>
          <w:rFonts w:ascii="Arial" w:hAnsi="Arial" w:cs="Arial"/>
          <w:i/>
          <w:iCs/>
          <w:sz w:val="24"/>
          <w:szCs w:val="24"/>
          <w:shd w:val="clear" w:color="auto" w:fill="FFFFFF"/>
          <w:lang w:val="en-US"/>
        </w:rPr>
        <w:t>13</w:t>
      </w:r>
      <w:r w:rsidRPr="002769E2">
        <w:rPr>
          <w:rFonts w:ascii="Arial" w:hAnsi="Arial" w:cs="Arial"/>
          <w:sz w:val="24"/>
          <w:szCs w:val="24"/>
          <w:shd w:val="clear" w:color="auto" w:fill="FFFFFF"/>
          <w:lang w:val="en-US"/>
        </w:rPr>
        <w:t>(5), 575-579.</w:t>
      </w:r>
    </w:p>
    <w:p w14:paraId="6250D907" w14:textId="77777777" w:rsidR="00002D1B" w:rsidRPr="00002D1B" w:rsidRDefault="00002D1B" w:rsidP="00002D1B">
      <w:pPr>
        <w:spacing w:before="120" w:after="120" w:line="240" w:lineRule="auto"/>
        <w:ind w:left="709" w:hanging="720"/>
        <w:jc w:val="both"/>
        <w:rPr>
          <w:rFonts w:ascii="Arial" w:hAnsi="Arial" w:cs="Arial"/>
          <w:sz w:val="24"/>
          <w:szCs w:val="24"/>
          <w:shd w:val="clear" w:color="auto" w:fill="FFFFFF"/>
        </w:rPr>
      </w:pPr>
      <w:r w:rsidRPr="002769E2">
        <w:rPr>
          <w:rFonts w:ascii="Arial" w:hAnsi="Arial" w:cs="Arial"/>
          <w:sz w:val="24"/>
          <w:szCs w:val="24"/>
          <w:shd w:val="clear" w:color="auto" w:fill="FFFFFF"/>
        </w:rPr>
        <w:t xml:space="preserve">Pueyo, J. M., Barberán, J., Modejar, P. L., Picazo, J. J., Bouza, E., Lerma, F. A. y Rodríguez, J. Á. G. </w:t>
      </w:r>
      <w:r w:rsidRPr="002769E2">
        <w:rPr>
          <w:rFonts w:ascii="Arial" w:hAnsi="Arial" w:cs="Arial"/>
          <w:b/>
          <w:sz w:val="24"/>
          <w:szCs w:val="24"/>
          <w:shd w:val="clear" w:color="auto" w:fill="FFFFFF"/>
        </w:rPr>
        <w:t>2008</w:t>
      </w:r>
      <w:r w:rsidRPr="002769E2">
        <w:rPr>
          <w:rFonts w:ascii="Arial" w:hAnsi="Arial" w:cs="Arial"/>
          <w:sz w:val="24"/>
          <w:szCs w:val="24"/>
          <w:shd w:val="clear" w:color="auto" w:fill="FFFFFF"/>
        </w:rPr>
        <w:t xml:space="preserve">. Guía de tratamiento de la infección producida por </w:t>
      </w:r>
      <w:r w:rsidRPr="002769E2">
        <w:rPr>
          <w:rFonts w:ascii="Arial" w:hAnsi="Arial" w:cs="Arial"/>
          <w:i/>
          <w:sz w:val="24"/>
          <w:szCs w:val="24"/>
          <w:shd w:val="clear" w:color="auto" w:fill="FFFFFF"/>
        </w:rPr>
        <w:t>Staphylococcus aureus</w:t>
      </w:r>
      <w:r w:rsidRPr="002769E2">
        <w:rPr>
          <w:rFonts w:ascii="Arial" w:hAnsi="Arial" w:cs="Arial"/>
          <w:sz w:val="24"/>
          <w:szCs w:val="24"/>
          <w:shd w:val="clear" w:color="auto" w:fill="FFFFFF"/>
        </w:rPr>
        <w:t xml:space="preserve"> resistente a meticilina.</w:t>
      </w:r>
      <w:r w:rsidRPr="002769E2">
        <w:rPr>
          <w:rStyle w:val="apple-converted-space"/>
          <w:rFonts w:ascii="Arial" w:hAnsi="Arial" w:cs="Arial"/>
          <w:sz w:val="24"/>
          <w:szCs w:val="24"/>
          <w:shd w:val="clear" w:color="auto" w:fill="FFFFFF"/>
        </w:rPr>
        <w:t> </w:t>
      </w:r>
      <w:r w:rsidRPr="002769E2">
        <w:rPr>
          <w:rFonts w:ascii="Arial" w:hAnsi="Arial" w:cs="Arial"/>
          <w:i/>
          <w:iCs/>
          <w:sz w:val="24"/>
          <w:szCs w:val="24"/>
          <w:shd w:val="clear" w:color="auto" w:fill="FFFFFF"/>
        </w:rPr>
        <w:t>Revista Española de Quimioterapia</w:t>
      </w:r>
      <w:r w:rsidRPr="002769E2">
        <w:rPr>
          <w:rFonts w:ascii="Arial" w:hAnsi="Arial" w:cs="Arial"/>
          <w:sz w:val="24"/>
          <w:szCs w:val="24"/>
          <w:shd w:val="clear" w:color="auto" w:fill="FFFFFF"/>
        </w:rPr>
        <w:t>,</w:t>
      </w:r>
      <w:r w:rsidRPr="002769E2">
        <w:rPr>
          <w:rStyle w:val="apple-converted-space"/>
          <w:rFonts w:ascii="Arial" w:hAnsi="Arial" w:cs="Arial"/>
          <w:sz w:val="24"/>
          <w:szCs w:val="24"/>
          <w:shd w:val="clear" w:color="auto" w:fill="FFFFFF"/>
        </w:rPr>
        <w:t xml:space="preserve"> </w:t>
      </w:r>
      <w:r w:rsidRPr="002769E2">
        <w:rPr>
          <w:rFonts w:ascii="Arial" w:hAnsi="Arial" w:cs="Arial"/>
          <w:i/>
          <w:iCs/>
          <w:sz w:val="24"/>
          <w:szCs w:val="24"/>
          <w:shd w:val="clear" w:color="auto" w:fill="FFFFFF"/>
        </w:rPr>
        <w:t>21</w:t>
      </w:r>
      <w:r w:rsidRPr="002769E2">
        <w:rPr>
          <w:rFonts w:ascii="Arial" w:hAnsi="Arial" w:cs="Arial"/>
          <w:sz w:val="24"/>
          <w:szCs w:val="24"/>
          <w:shd w:val="clear" w:color="auto" w:fill="FFFFFF"/>
        </w:rPr>
        <w:t>(4), 234-258.</w:t>
      </w:r>
    </w:p>
    <w:p w14:paraId="52A2D2E9" w14:textId="77777777" w:rsidR="000529FD" w:rsidRDefault="000529FD" w:rsidP="000529FD">
      <w:pPr>
        <w:spacing w:before="120" w:after="120" w:line="240" w:lineRule="auto"/>
        <w:ind w:left="709" w:hanging="720"/>
        <w:jc w:val="both"/>
        <w:rPr>
          <w:rFonts w:ascii="Arial" w:hAnsi="Arial" w:cs="Arial"/>
          <w:sz w:val="24"/>
          <w:szCs w:val="24"/>
        </w:rPr>
      </w:pPr>
      <w:r w:rsidRPr="002769E2">
        <w:rPr>
          <w:rFonts w:ascii="Arial" w:hAnsi="Arial" w:cs="Arial"/>
          <w:sz w:val="24"/>
          <w:szCs w:val="24"/>
        </w:rPr>
        <w:t xml:space="preserve">Quispe Chejo, V. H. </w:t>
      </w:r>
      <w:r w:rsidRPr="002769E2">
        <w:rPr>
          <w:rFonts w:ascii="Arial" w:hAnsi="Arial" w:cs="Arial"/>
          <w:b/>
          <w:sz w:val="24"/>
          <w:szCs w:val="24"/>
        </w:rPr>
        <w:t>2010</w:t>
      </w:r>
      <w:r w:rsidRPr="002769E2">
        <w:rPr>
          <w:rFonts w:ascii="Arial" w:hAnsi="Arial" w:cs="Arial"/>
          <w:sz w:val="24"/>
          <w:szCs w:val="24"/>
        </w:rPr>
        <w:t>. APLICACIONES INDUSTRIALES DE LA NANOTECNOLOGIA. Revista de Información, Tecnología y Sociedad, 58.</w:t>
      </w:r>
    </w:p>
    <w:p w14:paraId="4B8207AA" w14:textId="77777777" w:rsidR="00CF5016" w:rsidRPr="00CF5016" w:rsidRDefault="00CF5016" w:rsidP="00CF5016">
      <w:pPr>
        <w:spacing w:before="120" w:after="120" w:line="240" w:lineRule="auto"/>
        <w:ind w:left="709" w:hanging="720"/>
        <w:jc w:val="both"/>
        <w:rPr>
          <w:rFonts w:ascii="Arial" w:hAnsi="Arial" w:cs="Arial"/>
          <w:sz w:val="24"/>
          <w:szCs w:val="24"/>
          <w:lang w:val="en-US"/>
        </w:rPr>
      </w:pPr>
      <w:r w:rsidRPr="00CF5016">
        <w:rPr>
          <w:rFonts w:ascii="Arial" w:hAnsi="Arial" w:cs="Arial"/>
          <w:sz w:val="24"/>
          <w:szCs w:val="24"/>
        </w:rPr>
        <w:t xml:space="preserve">Ratyakshi y R.P. Chahuan†. </w:t>
      </w:r>
      <w:r w:rsidRPr="002769E2">
        <w:rPr>
          <w:rFonts w:ascii="Arial" w:hAnsi="Arial" w:cs="Arial"/>
          <w:b/>
          <w:sz w:val="24"/>
          <w:szCs w:val="24"/>
          <w:lang w:val="en-US"/>
        </w:rPr>
        <w:t>2009</w:t>
      </w:r>
      <w:r w:rsidRPr="002769E2">
        <w:rPr>
          <w:rFonts w:ascii="Arial" w:hAnsi="Arial" w:cs="Arial"/>
          <w:sz w:val="24"/>
          <w:szCs w:val="24"/>
          <w:lang w:val="en-US"/>
        </w:rPr>
        <w:t xml:space="preserve"> Department of Physics, National institute of Technology, Kurukshetra-136119</w:t>
      </w:r>
    </w:p>
    <w:p w14:paraId="566CE87C" w14:textId="77777777" w:rsidR="00CF5016" w:rsidRPr="00CF5016" w:rsidRDefault="00CF5016" w:rsidP="00CF5016">
      <w:pPr>
        <w:spacing w:before="120" w:after="120" w:line="240" w:lineRule="auto"/>
        <w:ind w:left="709" w:hanging="720"/>
        <w:jc w:val="both"/>
        <w:rPr>
          <w:rFonts w:ascii="Arial" w:hAnsi="Arial" w:cs="Arial"/>
          <w:sz w:val="24"/>
          <w:szCs w:val="24"/>
          <w:shd w:val="clear" w:color="auto" w:fill="FFFFFF"/>
        </w:rPr>
      </w:pPr>
      <w:r w:rsidRPr="002769E2">
        <w:rPr>
          <w:rFonts w:ascii="Arial" w:hAnsi="Arial" w:cs="Arial"/>
          <w:sz w:val="24"/>
          <w:szCs w:val="24"/>
          <w:shd w:val="clear" w:color="auto" w:fill="FFFFFF"/>
        </w:rPr>
        <w:t xml:space="preserve">Reyes-López, S. Y., Cornejo-Monroy, D., y González-García, G. </w:t>
      </w:r>
      <w:r w:rsidRPr="002769E2">
        <w:rPr>
          <w:rFonts w:ascii="Arial" w:hAnsi="Arial" w:cs="Arial"/>
          <w:b/>
          <w:sz w:val="24"/>
          <w:szCs w:val="24"/>
          <w:shd w:val="clear" w:color="auto" w:fill="FFFFFF"/>
        </w:rPr>
        <w:t>2015</w:t>
      </w:r>
      <w:r w:rsidRPr="002769E2">
        <w:rPr>
          <w:rFonts w:ascii="Arial" w:hAnsi="Arial" w:cs="Arial"/>
          <w:sz w:val="24"/>
          <w:szCs w:val="24"/>
          <w:shd w:val="clear" w:color="auto" w:fill="FFFFFF"/>
        </w:rPr>
        <w:t xml:space="preserve">. </w:t>
      </w:r>
      <w:r w:rsidRPr="002769E2">
        <w:rPr>
          <w:rFonts w:ascii="Arial" w:hAnsi="Arial" w:cs="Arial"/>
          <w:sz w:val="24"/>
          <w:szCs w:val="24"/>
          <w:shd w:val="clear" w:color="auto" w:fill="FFFFFF"/>
          <w:lang w:val="en-US"/>
        </w:rPr>
        <w:t>A Novel Route for the Preparation of Gold Nanoparticles in Polycaprolactone Nanofibers.</w:t>
      </w:r>
      <w:r w:rsidRPr="002769E2">
        <w:rPr>
          <w:rStyle w:val="apple-converted-space"/>
          <w:rFonts w:ascii="Arial" w:hAnsi="Arial" w:cs="Arial"/>
          <w:sz w:val="24"/>
          <w:szCs w:val="24"/>
          <w:shd w:val="clear" w:color="auto" w:fill="FFFFFF"/>
          <w:lang w:val="en-US"/>
        </w:rPr>
        <w:t xml:space="preserve"> </w:t>
      </w:r>
      <w:r w:rsidRPr="002769E2">
        <w:rPr>
          <w:rFonts w:ascii="Arial" w:hAnsi="Arial" w:cs="Arial"/>
          <w:i/>
          <w:iCs/>
          <w:sz w:val="24"/>
          <w:szCs w:val="24"/>
          <w:shd w:val="clear" w:color="auto" w:fill="FFFFFF"/>
        </w:rPr>
        <w:t>Journal of Nanomaterials</w:t>
      </w:r>
      <w:r w:rsidRPr="002769E2">
        <w:rPr>
          <w:rFonts w:ascii="Arial" w:hAnsi="Arial" w:cs="Arial"/>
          <w:sz w:val="24"/>
          <w:szCs w:val="24"/>
          <w:shd w:val="clear" w:color="auto" w:fill="FFFFFF"/>
        </w:rPr>
        <w:t>,</w:t>
      </w:r>
      <w:r w:rsidRPr="002769E2">
        <w:rPr>
          <w:rStyle w:val="apple-converted-space"/>
          <w:rFonts w:ascii="Arial" w:hAnsi="Arial" w:cs="Arial"/>
          <w:sz w:val="24"/>
          <w:szCs w:val="24"/>
          <w:shd w:val="clear" w:color="auto" w:fill="FFFFFF"/>
        </w:rPr>
        <w:t xml:space="preserve"> </w:t>
      </w:r>
      <w:r w:rsidRPr="002769E2">
        <w:rPr>
          <w:rFonts w:ascii="Arial" w:hAnsi="Arial" w:cs="Arial"/>
          <w:i/>
          <w:iCs/>
          <w:sz w:val="24"/>
          <w:szCs w:val="24"/>
          <w:shd w:val="clear" w:color="auto" w:fill="FFFFFF"/>
        </w:rPr>
        <w:t>501</w:t>
      </w:r>
      <w:r w:rsidRPr="002769E2">
        <w:rPr>
          <w:rFonts w:ascii="Arial" w:hAnsi="Arial" w:cs="Arial"/>
          <w:sz w:val="24"/>
          <w:szCs w:val="24"/>
          <w:shd w:val="clear" w:color="auto" w:fill="FFFFFF"/>
        </w:rPr>
        <w:t>, 485121.</w:t>
      </w:r>
    </w:p>
    <w:p w14:paraId="7F1BE191" w14:textId="1ED8AD2E" w:rsidR="006B4F3E" w:rsidRPr="000529FD" w:rsidRDefault="00002D1B" w:rsidP="00DA1FAC">
      <w:pPr>
        <w:spacing w:before="120" w:after="120" w:line="240" w:lineRule="auto"/>
        <w:ind w:left="709" w:hanging="720"/>
        <w:jc w:val="both"/>
        <w:rPr>
          <w:rFonts w:ascii="Arial" w:hAnsi="Arial" w:cs="Arial"/>
          <w:sz w:val="24"/>
          <w:szCs w:val="24"/>
          <w:lang w:val="en-US"/>
        </w:rPr>
      </w:pPr>
      <w:r w:rsidRPr="002769E2">
        <w:rPr>
          <w:rFonts w:ascii="Arial" w:hAnsi="Arial" w:cs="Arial"/>
          <w:sz w:val="24"/>
          <w:szCs w:val="24"/>
          <w:lang w:val="en-US"/>
        </w:rPr>
        <w:t>Sondi I y Salopek-Sondi</w:t>
      </w:r>
      <w:bookmarkStart w:id="2" w:name="_GoBack"/>
      <w:bookmarkEnd w:id="2"/>
      <w:r w:rsidRPr="002769E2">
        <w:rPr>
          <w:rFonts w:ascii="Arial" w:hAnsi="Arial" w:cs="Arial"/>
          <w:sz w:val="24"/>
          <w:szCs w:val="24"/>
          <w:lang w:val="en-US"/>
        </w:rPr>
        <w:t xml:space="preserve"> B: </w:t>
      </w:r>
      <w:r w:rsidRPr="002769E2">
        <w:rPr>
          <w:rFonts w:ascii="Arial" w:hAnsi="Arial" w:cs="Arial"/>
          <w:b/>
          <w:sz w:val="24"/>
          <w:szCs w:val="24"/>
          <w:lang w:val="en-US"/>
        </w:rPr>
        <w:t>2004</w:t>
      </w:r>
      <w:r w:rsidRPr="002769E2">
        <w:rPr>
          <w:rFonts w:ascii="Arial" w:hAnsi="Arial" w:cs="Arial"/>
          <w:sz w:val="24"/>
          <w:szCs w:val="24"/>
          <w:lang w:val="en-US"/>
        </w:rPr>
        <w:t xml:space="preserve">. Silver nanoparticles as antimicrobial agent: a case study on </w:t>
      </w:r>
      <w:r w:rsidRPr="002769E2">
        <w:rPr>
          <w:rFonts w:ascii="Arial" w:hAnsi="Arial" w:cs="Arial"/>
          <w:i/>
          <w:sz w:val="24"/>
          <w:szCs w:val="24"/>
          <w:lang w:val="en-US"/>
        </w:rPr>
        <w:t>E. coli</w:t>
      </w:r>
      <w:r w:rsidRPr="002769E2">
        <w:rPr>
          <w:rFonts w:ascii="Arial" w:hAnsi="Arial" w:cs="Arial"/>
          <w:sz w:val="24"/>
          <w:szCs w:val="24"/>
          <w:lang w:val="en-US"/>
        </w:rPr>
        <w:t xml:space="preserve"> as a model for Gram-negative bacteria. </w:t>
      </w:r>
      <w:r w:rsidRPr="00843A15">
        <w:rPr>
          <w:rFonts w:ascii="Arial" w:hAnsi="Arial" w:cs="Arial"/>
          <w:sz w:val="24"/>
          <w:szCs w:val="24"/>
          <w:lang w:val="en-US"/>
        </w:rPr>
        <w:t>J Colloid Interface Sci, 275:177-182.</w:t>
      </w:r>
    </w:p>
    <w:sectPr w:rsidR="006B4F3E" w:rsidRPr="000529FD">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FE3AF" w14:textId="77777777" w:rsidR="00010190" w:rsidRDefault="00010190" w:rsidP="000529FD">
      <w:pPr>
        <w:spacing w:after="0" w:line="240" w:lineRule="auto"/>
      </w:pPr>
      <w:r>
        <w:separator/>
      </w:r>
    </w:p>
  </w:endnote>
  <w:endnote w:type="continuationSeparator" w:id="0">
    <w:p w14:paraId="7AEAAA9C" w14:textId="77777777" w:rsidR="00010190" w:rsidRDefault="00010190" w:rsidP="00052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563271"/>
      <w:docPartObj>
        <w:docPartGallery w:val="Page Numbers (Bottom of Page)"/>
        <w:docPartUnique/>
      </w:docPartObj>
    </w:sdtPr>
    <w:sdtEndPr/>
    <w:sdtContent>
      <w:p w14:paraId="303186FA" w14:textId="77777777" w:rsidR="000529FD" w:rsidRDefault="000529FD">
        <w:pPr>
          <w:pStyle w:val="Piedepgina"/>
          <w:jc w:val="center"/>
        </w:pPr>
        <w:r>
          <w:fldChar w:fldCharType="begin"/>
        </w:r>
        <w:r>
          <w:instrText>PAGE   \* MERGEFORMAT</w:instrText>
        </w:r>
        <w:r>
          <w:fldChar w:fldCharType="separate"/>
        </w:r>
        <w:r>
          <w:rPr>
            <w:lang w:val="es-ES"/>
          </w:rPr>
          <w:t>2</w:t>
        </w:r>
        <w:r>
          <w:fldChar w:fldCharType="end"/>
        </w:r>
      </w:p>
    </w:sdtContent>
  </w:sdt>
  <w:p w14:paraId="7713E04F" w14:textId="77777777" w:rsidR="000529FD" w:rsidRDefault="000529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52EFE" w14:textId="77777777" w:rsidR="00010190" w:rsidRDefault="00010190" w:rsidP="000529FD">
      <w:pPr>
        <w:spacing w:after="0" w:line="240" w:lineRule="auto"/>
      </w:pPr>
      <w:r>
        <w:separator/>
      </w:r>
    </w:p>
  </w:footnote>
  <w:footnote w:type="continuationSeparator" w:id="0">
    <w:p w14:paraId="566E3374" w14:textId="77777777" w:rsidR="00010190" w:rsidRDefault="00010190" w:rsidP="000529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F3E"/>
    <w:rsid w:val="00002D1B"/>
    <w:rsid w:val="000062F6"/>
    <w:rsid w:val="00010190"/>
    <w:rsid w:val="0003794E"/>
    <w:rsid w:val="000469E0"/>
    <w:rsid w:val="000529FD"/>
    <w:rsid w:val="0006043F"/>
    <w:rsid w:val="000A0EF6"/>
    <w:rsid w:val="000B6FB5"/>
    <w:rsid w:val="000E5B81"/>
    <w:rsid w:val="000E633D"/>
    <w:rsid w:val="00107F6C"/>
    <w:rsid w:val="001172F7"/>
    <w:rsid w:val="00122812"/>
    <w:rsid w:val="00164FEF"/>
    <w:rsid w:val="00197E55"/>
    <w:rsid w:val="001B64F4"/>
    <w:rsid w:val="001C1047"/>
    <w:rsid w:val="00221988"/>
    <w:rsid w:val="00247FC3"/>
    <w:rsid w:val="002776E1"/>
    <w:rsid w:val="00285FB7"/>
    <w:rsid w:val="00310A63"/>
    <w:rsid w:val="00315145"/>
    <w:rsid w:val="003F73AE"/>
    <w:rsid w:val="00405CAF"/>
    <w:rsid w:val="00436CE9"/>
    <w:rsid w:val="004F0E7A"/>
    <w:rsid w:val="00510D7F"/>
    <w:rsid w:val="00537109"/>
    <w:rsid w:val="005A29AE"/>
    <w:rsid w:val="005D174C"/>
    <w:rsid w:val="00641897"/>
    <w:rsid w:val="006B4F3E"/>
    <w:rsid w:val="006B7EC1"/>
    <w:rsid w:val="006F1B62"/>
    <w:rsid w:val="00733EB8"/>
    <w:rsid w:val="0073734E"/>
    <w:rsid w:val="00746C1D"/>
    <w:rsid w:val="007709DE"/>
    <w:rsid w:val="00775775"/>
    <w:rsid w:val="007A08B1"/>
    <w:rsid w:val="007A705E"/>
    <w:rsid w:val="007C46CC"/>
    <w:rsid w:val="0086784C"/>
    <w:rsid w:val="008761C1"/>
    <w:rsid w:val="0089766B"/>
    <w:rsid w:val="008A6FFC"/>
    <w:rsid w:val="008B6251"/>
    <w:rsid w:val="008D7E6D"/>
    <w:rsid w:val="008F21A3"/>
    <w:rsid w:val="009113E1"/>
    <w:rsid w:val="00924B43"/>
    <w:rsid w:val="009719B7"/>
    <w:rsid w:val="009A23A9"/>
    <w:rsid w:val="009A4234"/>
    <w:rsid w:val="009D5E95"/>
    <w:rsid w:val="009E7128"/>
    <w:rsid w:val="00A06286"/>
    <w:rsid w:val="00A31C99"/>
    <w:rsid w:val="00A41D4B"/>
    <w:rsid w:val="00A50E61"/>
    <w:rsid w:val="00A94BE3"/>
    <w:rsid w:val="00B26237"/>
    <w:rsid w:val="00B36F7B"/>
    <w:rsid w:val="00B81CD7"/>
    <w:rsid w:val="00B961E9"/>
    <w:rsid w:val="00BD2CC7"/>
    <w:rsid w:val="00BE1BC9"/>
    <w:rsid w:val="00BE462A"/>
    <w:rsid w:val="00C15B83"/>
    <w:rsid w:val="00C63059"/>
    <w:rsid w:val="00C85031"/>
    <w:rsid w:val="00CF5016"/>
    <w:rsid w:val="00CF6FF1"/>
    <w:rsid w:val="00D16A71"/>
    <w:rsid w:val="00D55FD6"/>
    <w:rsid w:val="00DA1FAC"/>
    <w:rsid w:val="00DC18CC"/>
    <w:rsid w:val="00EA4984"/>
    <w:rsid w:val="00EB03B6"/>
    <w:rsid w:val="00F52907"/>
    <w:rsid w:val="00F7636F"/>
    <w:rsid w:val="00F9775A"/>
    <w:rsid w:val="00FB304F"/>
    <w:rsid w:val="00FF3A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E71E"/>
  <w15:chartTrackingRefBased/>
  <w15:docId w15:val="{2803075A-0776-457D-BC56-DD5AD878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0529FD"/>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29FD"/>
    <w:rPr>
      <w:rFonts w:asciiTheme="majorHAnsi" w:eastAsiaTheme="majorEastAsia" w:hAnsiTheme="majorHAnsi" w:cstheme="majorBidi"/>
      <w:color w:val="2F5496" w:themeColor="accent1" w:themeShade="BF"/>
      <w:sz w:val="32"/>
      <w:szCs w:val="32"/>
      <w:lang w:eastAsia="es-MX"/>
    </w:rPr>
  </w:style>
  <w:style w:type="character" w:customStyle="1" w:styleId="apple-converted-space">
    <w:name w:val="apple-converted-space"/>
    <w:basedOn w:val="Fuentedeprrafopredeter"/>
    <w:rsid w:val="000529FD"/>
  </w:style>
  <w:style w:type="paragraph" w:styleId="Encabezado">
    <w:name w:val="header"/>
    <w:basedOn w:val="Normal"/>
    <w:link w:val="EncabezadoCar"/>
    <w:uiPriority w:val="99"/>
    <w:unhideWhenUsed/>
    <w:rsid w:val="000529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29FD"/>
  </w:style>
  <w:style w:type="paragraph" w:styleId="Piedepgina">
    <w:name w:val="footer"/>
    <w:basedOn w:val="Normal"/>
    <w:link w:val="PiedepginaCar"/>
    <w:uiPriority w:val="99"/>
    <w:unhideWhenUsed/>
    <w:rsid w:val="000529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29FD"/>
  </w:style>
  <w:style w:type="paragraph" w:styleId="NormalWeb">
    <w:name w:val="Normal (Web)"/>
    <w:basedOn w:val="Normal"/>
    <w:uiPriority w:val="99"/>
    <w:unhideWhenUsed/>
    <w:rsid w:val="007A705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ps">
    <w:name w:val="hps"/>
    <w:basedOn w:val="Fuentedeprrafopredeter"/>
    <w:rsid w:val="000062F6"/>
  </w:style>
  <w:style w:type="table" w:customStyle="1" w:styleId="Cuadrculadetablaclara1">
    <w:name w:val="Cuadrícula de tabla clara1"/>
    <w:basedOn w:val="Tablanormal"/>
    <w:uiPriority w:val="40"/>
    <w:rsid w:val="00C630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globo">
    <w:name w:val="Balloon Text"/>
    <w:basedOn w:val="Normal"/>
    <w:link w:val="TextodegloboCar"/>
    <w:uiPriority w:val="99"/>
    <w:semiHidden/>
    <w:unhideWhenUsed/>
    <w:rsid w:val="00FF3A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3A12"/>
    <w:rPr>
      <w:rFonts w:ascii="Segoe UI" w:hAnsi="Segoe UI" w:cs="Segoe UI"/>
      <w:sz w:val="18"/>
      <w:szCs w:val="18"/>
    </w:rPr>
  </w:style>
  <w:style w:type="paragraph" w:styleId="Descripcin">
    <w:name w:val="caption"/>
    <w:basedOn w:val="Normal"/>
    <w:next w:val="Normal"/>
    <w:uiPriority w:val="35"/>
    <w:unhideWhenUsed/>
    <w:qFormat/>
    <w:rsid w:val="00FF3A12"/>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C85031"/>
    <w:rPr>
      <w:color w:val="0563C1" w:themeColor="hyperlink"/>
      <w:u w:val="single"/>
    </w:rPr>
  </w:style>
  <w:style w:type="character" w:styleId="Mencinsinresolver">
    <w:name w:val="Unresolved Mention"/>
    <w:basedOn w:val="Fuentedeprrafopredeter"/>
    <w:uiPriority w:val="99"/>
    <w:semiHidden/>
    <w:unhideWhenUsed/>
    <w:rsid w:val="00C85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171790@alumnos.uacj.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8B82B-1C4F-407C-AABF-8469EC6A5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2835</Words>
  <Characters>15596</Characters>
  <Application>Microsoft Office Word</Application>
  <DocSecurity>0</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Liliana Esquivel Reyes</dc:creator>
  <cp:keywords/>
  <dc:description/>
  <cp:lastModifiedBy>Abraham Leon</cp:lastModifiedBy>
  <cp:revision>6</cp:revision>
  <dcterms:created xsi:type="dcterms:W3CDTF">2019-09-12T20:24:00Z</dcterms:created>
  <dcterms:modified xsi:type="dcterms:W3CDTF">2019-09-12T23:06:00Z</dcterms:modified>
</cp:coreProperties>
</file>