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89C" w:rsidRPr="00C93EF9" w:rsidRDefault="0053489C" w:rsidP="00C93EF9">
      <w:pPr>
        <w:pStyle w:val="Textoindependiente"/>
        <w:spacing w:after="120"/>
        <w:jc w:val="center"/>
        <w:rPr>
          <w:rFonts w:ascii="Arial" w:hAnsi="Arial" w:cs="Arial"/>
          <w:b/>
          <w:szCs w:val="24"/>
        </w:rPr>
      </w:pPr>
      <w:r w:rsidRPr="00C93EF9">
        <w:rPr>
          <w:rFonts w:ascii="Arial" w:hAnsi="Arial" w:cs="Arial"/>
          <w:b/>
          <w:szCs w:val="24"/>
        </w:rPr>
        <w:t>BASES ESTRUCTURALES PARA LA INHIBICION DE DAPE, UNA DESUCCINILASA BLANCO PARA EL CONTROL ANTIMICROBIANO</w:t>
      </w:r>
    </w:p>
    <w:p w:rsidR="00C93EF9" w:rsidRPr="009761F0" w:rsidRDefault="00C93EF9" w:rsidP="00C93EF9">
      <w:pPr>
        <w:pStyle w:val="Textoindependiente"/>
        <w:spacing w:after="120"/>
        <w:jc w:val="center"/>
        <w:rPr>
          <w:rFonts w:ascii="Arial" w:hAnsi="Arial" w:cs="Arial"/>
          <w:b/>
          <w:szCs w:val="24"/>
        </w:rPr>
      </w:pPr>
      <w:r w:rsidRPr="00722D7B">
        <w:rPr>
          <w:rFonts w:ascii="Arial" w:hAnsi="Arial" w:cs="Arial"/>
          <w:b/>
          <w:szCs w:val="24"/>
        </w:rPr>
        <w:t>Terrazas-López M</w:t>
      </w:r>
      <w:r>
        <w:rPr>
          <w:rFonts w:ascii="Arial" w:hAnsi="Arial" w:cs="Arial"/>
          <w:b/>
          <w:szCs w:val="24"/>
        </w:rPr>
        <w:t>anuel</w:t>
      </w:r>
      <w:r w:rsidRPr="00BA5FF8">
        <w:rPr>
          <w:rFonts w:ascii="Arial" w:hAnsi="Arial" w:cs="Arial"/>
          <w:b/>
          <w:szCs w:val="24"/>
          <w:vertAlign w:val="superscript"/>
        </w:rPr>
        <w:t>1</w:t>
      </w:r>
      <w:r w:rsidR="0004298D" w:rsidRPr="0004298D">
        <w:rPr>
          <w:rFonts w:ascii="Arial" w:hAnsi="Arial" w:cs="Arial"/>
          <w:szCs w:val="24"/>
          <w:vertAlign w:val="superscript"/>
        </w:rPr>
        <w:t>α</w:t>
      </w:r>
      <w:r w:rsidRPr="00722D7B">
        <w:rPr>
          <w:rFonts w:ascii="Arial" w:hAnsi="Arial" w:cs="Arial"/>
          <w:b/>
          <w:szCs w:val="24"/>
        </w:rPr>
        <w:t>;</w:t>
      </w:r>
      <w:r>
        <w:rPr>
          <w:rFonts w:ascii="Arial" w:hAnsi="Arial" w:cs="Arial"/>
          <w:b/>
          <w:szCs w:val="24"/>
        </w:rPr>
        <w:t xml:space="preserve"> </w:t>
      </w:r>
      <w:r w:rsidR="00A70BF2">
        <w:rPr>
          <w:rFonts w:ascii="Arial" w:hAnsi="Arial" w:cs="Arial"/>
          <w:szCs w:val="24"/>
        </w:rPr>
        <w:t>Bustos-</w:t>
      </w:r>
      <w:proofErr w:type="spellStart"/>
      <w:r w:rsidR="00A70BF2">
        <w:rPr>
          <w:rFonts w:ascii="Arial" w:hAnsi="Arial" w:cs="Arial"/>
          <w:szCs w:val="24"/>
        </w:rPr>
        <w:t>Jaimes</w:t>
      </w:r>
      <w:proofErr w:type="spellEnd"/>
      <w:r w:rsidRPr="00C93EF9">
        <w:rPr>
          <w:rFonts w:ascii="Arial" w:hAnsi="Arial" w:cs="Arial"/>
          <w:szCs w:val="24"/>
        </w:rPr>
        <w:t xml:space="preserve"> I</w:t>
      </w:r>
      <w:r w:rsidR="00A70BF2">
        <w:rPr>
          <w:rFonts w:ascii="Arial" w:hAnsi="Arial" w:cs="Arial"/>
          <w:szCs w:val="24"/>
        </w:rPr>
        <w:t>smael</w:t>
      </w:r>
      <w:r w:rsidRPr="00C93EF9">
        <w:rPr>
          <w:rFonts w:ascii="Arial" w:hAnsi="Arial" w:cs="Arial"/>
          <w:szCs w:val="24"/>
          <w:vertAlign w:val="superscript"/>
        </w:rPr>
        <w:t>2</w:t>
      </w:r>
      <w:r w:rsidRPr="00C93EF9">
        <w:rPr>
          <w:rFonts w:ascii="Arial" w:hAnsi="Arial" w:cs="Arial"/>
          <w:szCs w:val="24"/>
        </w:rPr>
        <w:t>; Marcos-Ví</w:t>
      </w:r>
      <w:r w:rsidR="00DD3901">
        <w:rPr>
          <w:rFonts w:ascii="Arial" w:hAnsi="Arial" w:cs="Arial"/>
          <w:szCs w:val="24"/>
        </w:rPr>
        <w:t>quez</w:t>
      </w:r>
      <w:r w:rsidRPr="00C93EF9">
        <w:rPr>
          <w:rFonts w:ascii="Arial" w:hAnsi="Arial" w:cs="Arial"/>
          <w:szCs w:val="24"/>
        </w:rPr>
        <w:t xml:space="preserve"> J</w:t>
      </w:r>
      <w:r w:rsidR="00A70BF2">
        <w:rPr>
          <w:rFonts w:ascii="Arial" w:hAnsi="Arial" w:cs="Arial"/>
          <w:szCs w:val="24"/>
        </w:rPr>
        <w:t>orge Ángel</w:t>
      </w:r>
      <w:r w:rsidRPr="00C93EF9">
        <w:rPr>
          <w:rFonts w:ascii="Arial" w:hAnsi="Arial" w:cs="Arial"/>
          <w:szCs w:val="24"/>
          <w:vertAlign w:val="superscript"/>
        </w:rPr>
        <w:t>2</w:t>
      </w:r>
      <w:r w:rsidR="00DD3901">
        <w:rPr>
          <w:rFonts w:ascii="Arial" w:hAnsi="Arial" w:cs="Arial"/>
          <w:szCs w:val="24"/>
        </w:rPr>
        <w:t>; Lobo-Galo</w:t>
      </w:r>
      <w:r w:rsidRPr="00C93EF9">
        <w:rPr>
          <w:rFonts w:ascii="Arial" w:hAnsi="Arial" w:cs="Arial"/>
          <w:szCs w:val="24"/>
        </w:rPr>
        <w:t xml:space="preserve"> N</w:t>
      </w:r>
      <w:r w:rsidR="00A70BF2">
        <w:rPr>
          <w:rFonts w:ascii="Arial" w:hAnsi="Arial" w:cs="Arial"/>
          <w:szCs w:val="24"/>
        </w:rPr>
        <w:t>aún</w:t>
      </w:r>
      <w:r w:rsidRPr="00C93EF9">
        <w:rPr>
          <w:rFonts w:ascii="Arial" w:hAnsi="Arial" w:cs="Arial"/>
          <w:szCs w:val="24"/>
          <w:vertAlign w:val="superscript"/>
        </w:rPr>
        <w:t>1</w:t>
      </w:r>
      <w:r w:rsidR="00DD3901">
        <w:rPr>
          <w:rFonts w:ascii="Arial" w:hAnsi="Arial" w:cs="Arial"/>
          <w:szCs w:val="24"/>
        </w:rPr>
        <w:t>; Aguirre-Reyes</w:t>
      </w:r>
      <w:r w:rsidRPr="00C93EF9">
        <w:rPr>
          <w:rFonts w:ascii="Arial" w:hAnsi="Arial" w:cs="Arial"/>
          <w:szCs w:val="24"/>
        </w:rPr>
        <w:t xml:space="preserve"> L</w:t>
      </w:r>
      <w:r w:rsidR="00A70BF2">
        <w:rPr>
          <w:rFonts w:ascii="Arial" w:hAnsi="Arial" w:cs="Arial"/>
          <w:szCs w:val="24"/>
        </w:rPr>
        <w:t>uis</w:t>
      </w:r>
      <w:r w:rsidRPr="00C93EF9">
        <w:rPr>
          <w:rFonts w:ascii="Arial" w:hAnsi="Arial" w:cs="Arial"/>
          <w:szCs w:val="24"/>
        </w:rPr>
        <w:t xml:space="preserve"> G</w:t>
      </w:r>
      <w:r w:rsidR="00A70BF2">
        <w:rPr>
          <w:rFonts w:ascii="Arial" w:hAnsi="Arial" w:cs="Arial"/>
          <w:szCs w:val="24"/>
        </w:rPr>
        <w:t>uadalupe</w:t>
      </w:r>
      <w:r w:rsidRPr="00C93EF9">
        <w:rPr>
          <w:rFonts w:ascii="Arial" w:hAnsi="Arial" w:cs="Arial"/>
          <w:szCs w:val="24"/>
          <w:vertAlign w:val="superscript"/>
        </w:rPr>
        <w:t>1</w:t>
      </w:r>
      <w:r w:rsidR="00DD3901">
        <w:rPr>
          <w:rFonts w:ascii="Arial" w:hAnsi="Arial" w:cs="Arial"/>
          <w:szCs w:val="24"/>
        </w:rPr>
        <w:t>; Torres-Larios</w:t>
      </w:r>
      <w:r w:rsidRPr="00C93EF9">
        <w:rPr>
          <w:rFonts w:ascii="Arial" w:hAnsi="Arial" w:cs="Arial"/>
          <w:szCs w:val="24"/>
        </w:rPr>
        <w:t xml:space="preserve"> A</w:t>
      </w:r>
      <w:r w:rsidR="00A70BF2">
        <w:rPr>
          <w:rFonts w:ascii="Arial" w:hAnsi="Arial" w:cs="Arial"/>
          <w:szCs w:val="24"/>
        </w:rPr>
        <w:t>lfredo</w:t>
      </w:r>
      <w:r w:rsidRPr="00C93EF9">
        <w:rPr>
          <w:rFonts w:ascii="Arial" w:hAnsi="Arial" w:cs="Arial"/>
          <w:szCs w:val="24"/>
          <w:vertAlign w:val="superscript"/>
        </w:rPr>
        <w:t>3</w:t>
      </w:r>
      <w:r w:rsidRPr="00C93EF9">
        <w:rPr>
          <w:rFonts w:ascii="Arial" w:hAnsi="Arial" w:cs="Arial"/>
          <w:szCs w:val="24"/>
        </w:rPr>
        <w:t>; Martínez-Martínez, A</w:t>
      </w:r>
      <w:r w:rsidR="00A70BF2">
        <w:rPr>
          <w:rFonts w:ascii="Arial" w:hAnsi="Arial" w:cs="Arial"/>
          <w:szCs w:val="24"/>
        </w:rPr>
        <w:t>lejandro</w:t>
      </w:r>
      <w:r w:rsidRPr="00C93EF9">
        <w:rPr>
          <w:rFonts w:ascii="Arial" w:hAnsi="Arial" w:cs="Arial"/>
          <w:szCs w:val="24"/>
          <w:vertAlign w:val="superscript"/>
        </w:rPr>
        <w:t>1</w:t>
      </w:r>
      <w:r w:rsidRPr="00C93EF9">
        <w:rPr>
          <w:rFonts w:ascii="Arial" w:hAnsi="Arial" w:cs="Arial"/>
          <w:szCs w:val="24"/>
        </w:rPr>
        <w:t xml:space="preserve">; </w:t>
      </w:r>
      <w:r w:rsidR="00DD3901">
        <w:rPr>
          <w:rFonts w:ascii="Arial" w:hAnsi="Arial" w:cs="Arial"/>
          <w:szCs w:val="24"/>
        </w:rPr>
        <w:t>González-Segura</w:t>
      </w:r>
      <w:r w:rsidRPr="00C93EF9">
        <w:rPr>
          <w:rFonts w:ascii="Arial" w:hAnsi="Arial" w:cs="Arial"/>
          <w:szCs w:val="24"/>
        </w:rPr>
        <w:t xml:space="preserve"> L</w:t>
      </w:r>
      <w:r w:rsidR="00A70BF2">
        <w:rPr>
          <w:rFonts w:ascii="Arial" w:hAnsi="Arial" w:cs="Arial"/>
          <w:szCs w:val="24"/>
        </w:rPr>
        <w:t>ilian</w:t>
      </w:r>
      <w:r w:rsidRPr="00C93EF9">
        <w:rPr>
          <w:rFonts w:ascii="Arial" w:hAnsi="Arial" w:cs="Arial"/>
          <w:szCs w:val="24"/>
          <w:vertAlign w:val="superscript"/>
        </w:rPr>
        <w:t>4</w:t>
      </w:r>
      <w:r w:rsidRPr="00C93EF9">
        <w:rPr>
          <w:rFonts w:ascii="Arial" w:hAnsi="Arial" w:cs="Arial"/>
          <w:szCs w:val="24"/>
        </w:rPr>
        <w:t>; Díaz-Sánchez</w:t>
      </w:r>
      <w:r w:rsidR="00A70BF2">
        <w:rPr>
          <w:rFonts w:ascii="Arial" w:hAnsi="Arial" w:cs="Arial"/>
          <w:szCs w:val="24"/>
        </w:rPr>
        <w:t xml:space="preserve"> Ángel</w:t>
      </w:r>
      <w:r w:rsidRPr="00C93EF9">
        <w:rPr>
          <w:rFonts w:ascii="Arial" w:hAnsi="Arial" w:cs="Arial"/>
          <w:szCs w:val="24"/>
        </w:rPr>
        <w:t xml:space="preserve"> G</w:t>
      </w:r>
      <w:r w:rsidR="00A70BF2">
        <w:rPr>
          <w:rFonts w:ascii="Arial" w:hAnsi="Arial" w:cs="Arial"/>
          <w:szCs w:val="24"/>
        </w:rPr>
        <w:t>abriel</w:t>
      </w:r>
      <w:r w:rsidRPr="00C93EF9">
        <w:rPr>
          <w:rFonts w:ascii="Arial" w:hAnsi="Arial" w:cs="Arial"/>
          <w:szCs w:val="24"/>
          <w:vertAlign w:val="superscript"/>
        </w:rPr>
        <w:t>1</w:t>
      </w:r>
      <w:r w:rsidR="0004298D" w:rsidRPr="0004298D">
        <w:rPr>
          <w:rFonts w:ascii="Calibri" w:hAnsi="Calibri" w:cs="Calibri"/>
          <w:szCs w:val="24"/>
          <w:vertAlign w:val="superscript"/>
        </w:rPr>
        <w:t>Ω</w:t>
      </w:r>
    </w:p>
    <w:p w:rsidR="00A335AD" w:rsidRDefault="0004298D" w:rsidP="0004298D">
      <w:pPr>
        <w:pStyle w:val="Textoindependiente"/>
        <w:spacing w:after="120"/>
        <w:jc w:val="center"/>
        <w:rPr>
          <w:rFonts w:ascii="Arial" w:hAnsi="Arial" w:cs="Arial"/>
          <w:szCs w:val="24"/>
        </w:rPr>
      </w:pPr>
      <w:r w:rsidRPr="0004298D">
        <w:rPr>
          <w:rFonts w:ascii="Arial" w:hAnsi="Arial" w:cs="Arial"/>
          <w:szCs w:val="24"/>
          <w:vertAlign w:val="superscript"/>
        </w:rPr>
        <w:t>α</w:t>
      </w:r>
      <w:r w:rsidR="00C93EF9">
        <w:rPr>
          <w:rFonts w:ascii="Arial" w:hAnsi="Arial" w:cs="Arial"/>
          <w:szCs w:val="24"/>
        </w:rPr>
        <w:t>Autor princip</w:t>
      </w:r>
      <w:r w:rsidR="00C93EF9" w:rsidRPr="009761F0">
        <w:rPr>
          <w:rFonts w:ascii="Arial" w:hAnsi="Arial" w:cs="Arial"/>
          <w:szCs w:val="24"/>
        </w:rPr>
        <w:t>al</w:t>
      </w:r>
      <w:r w:rsidR="00C93EF9">
        <w:rPr>
          <w:rFonts w:ascii="Arial" w:hAnsi="Arial" w:cs="Arial"/>
          <w:szCs w:val="24"/>
        </w:rPr>
        <w:t xml:space="preserve"> </w:t>
      </w:r>
      <w:hyperlink r:id="rId6" w:history="1">
        <w:r w:rsidR="00750A5B" w:rsidRPr="00FC4F3F">
          <w:rPr>
            <w:rStyle w:val="Hipervnculo"/>
            <w:rFonts w:ascii="Arial" w:hAnsi="Arial" w:cs="Arial"/>
            <w:szCs w:val="24"/>
          </w:rPr>
          <w:t>manuel.terrazas@uacj.mx</w:t>
        </w:r>
      </w:hyperlink>
      <w:r>
        <w:rPr>
          <w:rFonts w:ascii="Arial" w:hAnsi="Arial" w:cs="Arial"/>
          <w:szCs w:val="24"/>
        </w:rPr>
        <w:t xml:space="preserve"> </w:t>
      </w:r>
      <w:r w:rsidR="00C12F31">
        <w:rPr>
          <w:rFonts w:ascii="Arial" w:hAnsi="Arial" w:cs="Arial"/>
          <w:szCs w:val="24"/>
        </w:rPr>
        <w:t xml:space="preserve">    </w:t>
      </w:r>
      <w:r>
        <w:rPr>
          <w:rFonts w:ascii="Arial" w:hAnsi="Arial" w:cs="Arial"/>
          <w:szCs w:val="24"/>
        </w:rPr>
        <w:t xml:space="preserve">                   </w:t>
      </w:r>
      <w:proofErr w:type="spellStart"/>
      <w:r w:rsidRPr="0004298D">
        <w:rPr>
          <w:rFonts w:ascii="Calibri" w:hAnsi="Calibri" w:cs="Calibri"/>
          <w:szCs w:val="24"/>
          <w:vertAlign w:val="superscript"/>
        </w:rPr>
        <w:t>Ω</w:t>
      </w:r>
      <w:r w:rsidR="00A335AD">
        <w:rPr>
          <w:rFonts w:ascii="Arial" w:hAnsi="Arial" w:cs="Arial"/>
          <w:szCs w:val="24"/>
        </w:rPr>
        <w:t>Tutor</w:t>
      </w:r>
      <w:proofErr w:type="spellEnd"/>
      <w:r w:rsidR="00A335AD">
        <w:rPr>
          <w:rFonts w:ascii="Arial" w:hAnsi="Arial" w:cs="Arial"/>
          <w:szCs w:val="24"/>
        </w:rPr>
        <w:t xml:space="preserve"> </w:t>
      </w:r>
      <w:hyperlink r:id="rId7" w:history="1">
        <w:r w:rsidR="00A335AD" w:rsidRPr="00FC4F3F">
          <w:rPr>
            <w:rStyle w:val="Hipervnculo"/>
            <w:rFonts w:ascii="Arial" w:hAnsi="Arial" w:cs="Arial"/>
            <w:szCs w:val="24"/>
          </w:rPr>
          <w:t>angel.diaz@uacj.mx</w:t>
        </w:r>
      </w:hyperlink>
    </w:p>
    <w:p w:rsidR="00C93EF9" w:rsidRPr="00FA25E8" w:rsidRDefault="00C93EF9" w:rsidP="00C93EF9">
      <w:pPr>
        <w:pStyle w:val="Textoindependiente"/>
        <w:spacing w:after="120"/>
        <w:rPr>
          <w:rFonts w:ascii="Arial" w:hAnsi="Arial" w:cs="Arial"/>
          <w:sz w:val="20"/>
          <w:szCs w:val="24"/>
        </w:rPr>
      </w:pPr>
      <w:r w:rsidRPr="00FA25E8">
        <w:rPr>
          <w:rFonts w:ascii="Arial" w:hAnsi="Arial" w:cs="Arial"/>
          <w:b/>
          <w:sz w:val="20"/>
          <w:szCs w:val="24"/>
          <w:vertAlign w:val="superscript"/>
        </w:rPr>
        <w:t>1</w:t>
      </w:r>
      <w:r w:rsidRPr="00FA25E8">
        <w:rPr>
          <w:rFonts w:ascii="Arial" w:hAnsi="Arial" w:cs="Arial"/>
          <w:sz w:val="20"/>
          <w:szCs w:val="24"/>
        </w:rPr>
        <w:t xml:space="preserve"> Universidad Autónoma de Ciudad Juárez, Instituto de Ciencias Biomédicas, Departamento de Ciencias Químico Biológicas, Ciudad Juárez, Chihuahua 32310, México.</w:t>
      </w:r>
    </w:p>
    <w:p w:rsidR="00C93EF9" w:rsidRPr="00FA25E8" w:rsidRDefault="00C93EF9" w:rsidP="00C93EF9">
      <w:pPr>
        <w:pStyle w:val="Textoindependiente"/>
        <w:spacing w:after="120"/>
        <w:rPr>
          <w:rFonts w:ascii="Arial" w:hAnsi="Arial" w:cs="Arial"/>
          <w:sz w:val="20"/>
          <w:szCs w:val="24"/>
        </w:rPr>
      </w:pPr>
      <w:r w:rsidRPr="00FA25E8">
        <w:rPr>
          <w:rFonts w:ascii="Arial" w:hAnsi="Arial" w:cs="Arial"/>
          <w:b/>
          <w:sz w:val="20"/>
          <w:szCs w:val="24"/>
          <w:vertAlign w:val="superscript"/>
        </w:rPr>
        <w:t>2</w:t>
      </w:r>
      <w:r w:rsidRPr="00FA25E8">
        <w:rPr>
          <w:rFonts w:ascii="Arial" w:hAnsi="Arial" w:cs="Arial"/>
          <w:sz w:val="20"/>
          <w:szCs w:val="24"/>
        </w:rPr>
        <w:t xml:space="preserve"> Universidad Nacional Autónoma de México, Facultad de Ciencias Biomédicas, Departamento de Bioquímica, Ciudad Universitaria, Ciudad de México, 04510, México.</w:t>
      </w:r>
    </w:p>
    <w:p w:rsidR="00C93EF9" w:rsidRPr="00FA25E8" w:rsidRDefault="00C93EF9" w:rsidP="00C93EF9">
      <w:pPr>
        <w:pStyle w:val="Textoindependiente"/>
        <w:spacing w:after="120"/>
        <w:rPr>
          <w:rFonts w:ascii="Arial" w:hAnsi="Arial" w:cs="Arial"/>
          <w:sz w:val="20"/>
          <w:szCs w:val="24"/>
        </w:rPr>
      </w:pPr>
      <w:r w:rsidRPr="00FA25E8">
        <w:rPr>
          <w:rFonts w:ascii="Arial" w:hAnsi="Arial" w:cs="Arial"/>
          <w:b/>
          <w:sz w:val="20"/>
          <w:szCs w:val="24"/>
          <w:vertAlign w:val="superscript"/>
        </w:rPr>
        <w:t>3</w:t>
      </w:r>
      <w:r w:rsidRPr="00FA25E8">
        <w:rPr>
          <w:rFonts w:ascii="Arial" w:hAnsi="Arial" w:cs="Arial"/>
          <w:sz w:val="20"/>
          <w:szCs w:val="24"/>
        </w:rPr>
        <w:t xml:space="preserve"> Universidad Nacional Autónoma de México, Facultad de Química, Departamento de Bioquímica, Ciudad Universitaria, Ciudad de México, 04510, México.</w:t>
      </w:r>
    </w:p>
    <w:p w:rsidR="00C93EF9" w:rsidRDefault="00C93EF9" w:rsidP="00C93EF9">
      <w:pPr>
        <w:pStyle w:val="Textoindependiente"/>
        <w:spacing w:after="120"/>
        <w:rPr>
          <w:rFonts w:ascii="Arial" w:hAnsi="Arial" w:cs="Arial"/>
          <w:sz w:val="20"/>
          <w:szCs w:val="24"/>
        </w:rPr>
      </w:pPr>
      <w:r w:rsidRPr="00FA25E8">
        <w:rPr>
          <w:rFonts w:ascii="Arial" w:hAnsi="Arial" w:cs="Arial"/>
          <w:b/>
          <w:sz w:val="20"/>
          <w:vertAlign w:val="superscript"/>
        </w:rPr>
        <w:t>4</w:t>
      </w:r>
      <w:r w:rsidRPr="00FA25E8">
        <w:rPr>
          <w:rFonts w:ascii="Arial" w:hAnsi="Arial" w:cs="Arial"/>
          <w:sz w:val="20"/>
        </w:rPr>
        <w:t xml:space="preserve"> </w:t>
      </w:r>
      <w:r w:rsidRPr="00FA25E8">
        <w:rPr>
          <w:rFonts w:ascii="Arial" w:hAnsi="Arial" w:cs="Arial"/>
          <w:sz w:val="20"/>
          <w:szCs w:val="24"/>
        </w:rPr>
        <w:t>Universidad Nacional Autónoma de México, Instituto de Fisiología Celular, Departamento de Bioquímica y Biología Estructural, Ciudad Universitaria, Ciudad de México, 04510, México.</w:t>
      </w:r>
    </w:p>
    <w:p w:rsidR="00387784" w:rsidRPr="00387784" w:rsidRDefault="00387784" w:rsidP="00387784">
      <w:pPr>
        <w:pStyle w:val="Textoindependiente"/>
        <w:spacing w:after="120"/>
        <w:rPr>
          <w:rFonts w:ascii="Arial" w:hAnsi="Arial" w:cs="Arial"/>
          <w:szCs w:val="24"/>
        </w:rPr>
      </w:pPr>
      <w:r>
        <w:rPr>
          <w:rFonts w:ascii="Arial" w:hAnsi="Arial" w:cs="Arial"/>
          <w:szCs w:val="24"/>
        </w:rPr>
        <w:t xml:space="preserve">Presentación oral en el área de conocimiento II. Biología y Química </w:t>
      </w:r>
    </w:p>
    <w:p w:rsidR="00465CEF" w:rsidRDefault="00711F69" w:rsidP="00465CEF">
      <w:pPr>
        <w:pStyle w:val="Textoindependiente"/>
        <w:spacing w:after="120"/>
        <w:rPr>
          <w:rFonts w:ascii="Arial" w:hAnsi="Arial" w:cs="Arial"/>
          <w:szCs w:val="24"/>
          <w:lang w:val="es-MX"/>
        </w:rPr>
      </w:pPr>
      <w:r w:rsidRPr="00C93EF9">
        <w:rPr>
          <w:rFonts w:ascii="Arial" w:hAnsi="Arial" w:cs="Arial"/>
          <w:szCs w:val="24"/>
          <w:lang w:val="es-MX"/>
        </w:rPr>
        <w:t xml:space="preserve">El resurgimiento de bacterias patógenas </w:t>
      </w:r>
      <w:proofErr w:type="spellStart"/>
      <w:r w:rsidRPr="00C93EF9">
        <w:rPr>
          <w:rFonts w:ascii="Arial" w:hAnsi="Arial" w:cs="Arial"/>
          <w:szCs w:val="24"/>
          <w:lang w:val="es-MX"/>
        </w:rPr>
        <w:t>multirresistentes</w:t>
      </w:r>
      <w:proofErr w:type="spellEnd"/>
      <w:r w:rsidRPr="00C93EF9">
        <w:rPr>
          <w:rFonts w:ascii="Arial" w:hAnsi="Arial" w:cs="Arial"/>
          <w:szCs w:val="24"/>
          <w:lang w:val="es-MX"/>
        </w:rPr>
        <w:t xml:space="preserve"> acentúa la necesidad de identificar nuevos </w:t>
      </w:r>
      <w:r w:rsidR="005258E7" w:rsidRPr="00C93EF9">
        <w:rPr>
          <w:rFonts w:ascii="Arial" w:hAnsi="Arial" w:cs="Arial"/>
          <w:szCs w:val="24"/>
          <w:lang w:val="es-MX"/>
        </w:rPr>
        <w:t xml:space="preserve">blancos </w:t>
      </w:r>
      <w:proofErr w:type="spellStart"/>
      <w:r w:rsidR="005258E7" w:rsidRPr="00C93EF9">
        <w:rPr>
          <w:rFonts w:ascii="Arial" w:hAnsi="Arial" w:cs="Arial"/>
          <w:szCs w:val="24"/>
          <w:lang w:val="es-MX"/>
        </w:rPr>
        <w:t>farmacologicos</w:t>
      </w:r>
      <w:proofErr w:type="spellEnd"/>
      <w:r w:rsidR="005258E7" w:rsidRPr="00C93EF9">
        <w:rPr>
          <w:rFonts w:ascii="Arial" w:hAnsi="Arial" w:cs="Arial"/>
          <w:szCs w:val="24"/>
          <w:lang w:val="es-MX"/>
        </w:rPr>
        <w:t xml:space="preserve"> de naturaleza</w:t>
      </w:r>
      <w:r w:rsidRPr="00C93EF9">
        <w:rPr>
          <w:rFonts w:ascii="Arial" w:hAnsi="Arial" w:cs="Arial"/>
          <w:szCs w:val="24"/>
          <w:lang w:val="es-MX"/>
        </w:rPr>
        <w:t xml:space="preserve"> enzimátic</w:t>
      </w:r>
      <w:r w:rsidR="005258E7" w:rsidRPr="00C93EF9">
        <w:rPr>
          <w:rFonts w:ascii="Arial" w:hAnsi="Arial" w:cs="Arial"/>
          <w:szCs w:val="24"/>
          <w:lang w:val="es-MX"/>
        </w:rPr>
        <w:t>a</w:t>
      </w:r>
      <w:r w:rsidRPr="00C93EF9">
        <w:rPr>
          <w:rFonts w:ascii="Arial" w:hAnsi="Arial" w:cs="Arial"/>
          <w:szCs w:val="24"/>
          <w:lang w:val="es-MX"/>
        </w:rPr>
        <w:t xml:space="preserve"> y desarrollar inhibidores específicos</w:t>
      </w:r>
      <w:r w:rsidR="005258E7" w:rsidRPr="00C93EF9">
        <w:rPr>
          <w:rFonts w:ascii="Arial" w:hAnsi="Arial" w:cs="Arial"/>
          <w:szCs w:val="24"/>
          <w:lang w:val="es-MX"/>
        </w:rPr>
        <w:t xml:space="preserve"> contra éstos</w:t>
      </w:r>
      <w:r w:rsidRPr="00C93EF9">
        <w:rPr>
          <w:rFonts w:ascii="Arial" w:hAnsi="Arial" w:cs="Arial"/>
          <w:szCs w:val="24"/>
          <w:lang w:val="es-MX"/>
        </w:rPr>
        <w:t xml:space="preserve">. </w:t>
      </w:r>
      <w:r w:rsidR="00A3768C" w:rsidRPr="00C93EF9">
        <w:rPr>
          <w:rFonts w:ascii="Arial" w:hAnsi="Arial" w:cs="Arial"/>
          <w:szCs w:val="24"/>
          <w:lang w:val="es-MX"/>
        </w:rPr>
        <w:t>DapE es u</w:t>
      </w:r>
      <w:r w:rsidRPr="00C93EF9">
        <w:rPr>
          <w:rFonts w:ascii="Arial" w:hAnsi="Arial" w:cs="Arial"/>
          <w:szCs w:val="24"/>
          <w:lang w:val="es-MX"/>
        </w:rPr>
        <w:t xml:space="preserve">na </w:t>
      </w:r>
      <w:proofErr w:type="spellStart"/>
      <w:r w:rsidRPr="00C93EF9">
        <w:rPr>
          <w:rFonts w:ascii="Arial" w:hAnsi="Arial" w:cs="Arial"/>
          <w:szCs w:val="24"/>
          <w:lang w:val="es-MX"/>
        </w:rPr>
        <w:t>metalohidrolasa</w:t>
      </w:r>
      <w:proofErr w:type="spellEnd"/>
      <w:r w:rsidRPr="00C93EF9">
        <w:rPr>
          <w:rFonts w:ascii="Arial" w:hAnsi="Arial" w:cs="Arial"/>
          <w:szCs w:val="24"/>
          <w:lang w:val="es-MX"/>
        </w:rPr>
        <w:t xml:space="preserve"> importante en la biosíntesis del </w:t>
      </w:r>
      <w:r w:rsidRPr="00C93EF9">
        <w:rPr>
          <w:rFonts w:ascii="Arial" w:hAnsi="Arial" w:cs="Arial"/>
          <w:i/>
          <w:szCs w:val="24"/>
          <w:lang w:val="es-MX"/>
        </w:rPr>
        <w:t>meso</w:t>
      </w:r>
      <w:r w:rsidRPr="00C93EF9">
        <w:rPr>
          <w:rFonts w:ascii="Arial" w:hAnsi="Arial" w:cs="Arial"/>
          <w:szCs w:val="24"/>
          <w:lang w:val="es-MX"/>
        </w:rPr>
        <w:t>-</w:t>
      </w:r>
      <w:proofErr w:type="spellStart"/>
      <w:r w:rsidRPr="00C93EF9">
        <w:rPr>
          <w:rFonts w:ascii="Arial" w:hAnsi="Arial" w:cs="Arial"/>
          <w:szCs w:val="24"/>
          <w:lang w:val="es-MX"/>
        </w:rPr>
        <w:t>diaminopimelato</w:t>
      </w:r>
      <w:proofErr w:type="spellEnd"/>
      <w:r w:rsidRPr="00C93EF9">
        <w:rPr>
          <w:rFonts w:ascii="Arial" w:hAnsi="Arial" w:cs="Arial"/>
          <w:szCs w:val="24"/>
          <w:lang w:val="es-MX"/>
        </w:rPr>
        <w:t xml:space="preserve"> y lisina, componentes </w:t>
      </w:r>
      <w:r w:rsidR="00A3768C" w:rsidRPr="00C93EF9">
        <w:rPr>
          <w:rFonts w:ascii="Arial" w:hAnsi="Arial" w:cs="Arial"/>
          <w:szCs w:val="24"/>
          <w:lang w:val="es-MX"/>
        </w:rPr>
        <w:t>esenciales</w:t>
      </w:r>
      <w:r w:rsidR="005258E7" w:rsidRPr="00C93EF9">
        <w:rPr>
          <w:rFonts w:ascii="Arial" w:hAnsi="Arial" w:cs="Arial"/>
          <w:szCs w:val="24"/>
          <w:lang w:val="es-MX"/>
        </w:rPr>
        <w:t xml:space="preserve"> del</w:t>
      </w:r>
      <w:r w:rsidR="00A3768C" w:rsidRPr="00C93EF9">
        <w:rPr>
          <w:rFonts w:ascii="Arial" w:hAnsi="Arial" w:cs="Arial"/>
          <w:szCs w:val="24"/>
          <w:lang w:val="es-MX"/>
        </w:rPr>
        <w:t xml:space="preserve"> </w:t>
      </w:r>
      <w:proofErr w:type="spellStart"/>
      <w:r w:rsidR="00EB389E" w:rsidRPr="00C93EF9">
        <w:rPr>
          <w:rFonts w:ascii="Arial" w:hAnsi="Arial" w:cs="Arial"/>
          <w:szCs w:val="24"/>
          <w:lang w:val="es-MX"/>
        </w:rPr>
        <w:t>peptidoglicano</w:t>
      </w:r>
      <w:proofErr w:type="spellEnd"/>
      <w:r w:rsidR="00EB389E" w:rsidRPr="00C93EF9">
        <w:rPr>
          <w:rFonts w:ascii="Arial" w:hAnsi="Arial" w:cs="Arial"/>
          <w:szCs w:val="24"/>
          <w:lang w:val="es-MX"/>
        </w:rPr>
        <w:t xml:space="preserve"> </w:t>
      </w:r>
      <w:r w:rsidR="005258E7" w:rsidRPr="00C93EF9">
        <w:rPr>
          <w:rFonts w:ascii="Arial" w:hAnsi="Arial" w:cs="Arial"/>
          <w:szCs w:val="24"/>
          <w:lang w:val="es-MX"/>
        </w:rPr>
        <w:t xml:space="preserve">de la pared celular </w:t>
      </w:r>
      <w:r w:rsidR="00FC5974">
        <w:rPr>
          <w:rFonts w:ascii="Arial" w:hAnsi="Arial" w:cs="Arial"/>
          <w:szCs w:val="24"/>
          <w:lang w:val="es-MX"/>
        </w:rPr>
        <w:t>bacteriana</w:t>
      </w:r>
      <w:r w:rsidR="00F364D1" w:rsidRPr="00C93EF9">
        <w:rPr>
          <w:rFonts w:ascii="Arial" w:hAnsi="Arial" w:cs="Arial"/>
          <w:szCs w:val="24"/>
          <w:lang w:val="es-MX"/>
        </w:rPr>
        <w:t>.</w:t>
      </w:r>
      <w:r w:rsidR="00237135" w:rsidRPr="00C93EF9">
        <w:rPr>
          <w:rFonts w:ascii="Arial" w:hAnsi="Arial" w:cs="Arial"/>
          <w:szCs w:val="24"/>
          <w:lang w:val="es-MX"/>
        </w:rPr>
        <w:t xml:space="preserve"> </w:t>
      </w:r>
      <w:r w:rsidR="00F364D1" w:rsidRPr="00C93EF9">
        <w:rPr>
          <w:rFonts w:ascii="Arial" w:hAnsi="Arial" w:cs="Arial"/>
          <w:szCs w:val="24"/>
          <w:lang w:val="es-MX"/>
        </w:rPr>
        <w:t>E</w:t>
      </w:r>
      <w:r w:rsidR="00237135" w:rsidRPr="00C93EF9">
        <w:rPr>
          <w:rFonts w:ascii="Arial" w:hAnsi="Arial" w:cs="Arial"/>
          <w:szCs w:val="24"/>
          <w:lang w:val="es-MX"/>
        </w:rPr>
        <w:t xml:space="preserve">s reconocida como crítica para el crecimiento </w:t>
      </w:r>
      <w:r w:rsidR="0023077B" w:rsidRPr="00C93EF9">
        <w:rPr>
          <w:rFonts w:ascii="Arial" w:hAnsi="Arial" w:cs="Arial"/>
          <w:szCs w:val="24"/>
          <w:lang w:val="es-MX"/>
        </w:rPr>
        <w:t xml:space="preserve">debido a que la </w:t>
      </w:r>
      <w:proofErr w:type="spellStart"/>
      <w:r w:rsidR="0023077B" w:rsidRPr="00C93EF9">
        <w:rPr>
          <w:rFonts w:ascii="Arial" w:hAnsi="Arial" w:cs="Arial"/>
          <w:szCs w:val="24"/>
          <w:lang w:val="es-MX"/>
        </w:rPr>
        <w:t>deleción</w:t>
      </w:r>
      <w:proofErr w:type="spellEnd"/>
      <w:r w:rsidR="0023077B" w:rsidRPr="00C93EF9">
        <w:rPr>
          <w:rFonts w:ascii="Arial" w:hAnsi="Arial" w:cs="Arial"/>
          <w:szCs w:val="24"/>
          <w:lang w:val="es-MX"/>
        </w:rPr>
        <w:t xml:space="preserve"> del gen </w:t>
      </w:r>
      <w:proofErr w:type="spellStart"/>
      <w:r w:rsidR="0023077B" w:rsidRPr="00C93EF9">
        <w:rPr>
          <w:rFonts w:ascii="Arial" w:hAnsi="Arial" w:cs="Arial"/>
          <w:i/>
          <w:szCs w:val="24"/>
          <w:lang w:val="es-MX"/>
        </w:rPr>
        <w:t>dape</w:t>
      </w:r>
      <w:proofErr w:type="spellEnd"/>
      <w:r w:rsidR="0023077B" w:rsidRPr="00C93EF9">
        <w:rPr>
          <w:rFonts w:ascii="Arial" w:hAnsi="Arial" w:cs="Arial"/>
          <w:szCs w:val="24"/>
          <w:lang w:val="es-MX"/>
        </w:rPr>
        <w:t xml:space="preserve"> ha demostrado ser letal para bacterias patógenas como </w:t>
      </w:r>
      <w:proofErr w:type="spellStart"/>
      <w:r w:rsidR="0023077B" w:rsidRPr="00C93EF9">
        <w:rPr>
          <w:rFonts w:ascii="Arial" w:hAnsi="Arial" w:cs="Arial"/>
          <w:i/>
          <w:szCs w:val="24"/>
          <w:lang w:val="es-MX"/>
        </w:rPr>
        <w:t>Helicobacter</w:t>
      </w:r>
      <w:proofErr w:type="spellEnd"/>
      <w:r w:rsidR="0023077B" w:rsidRPr="00C93EF9">
        <w:rPr>
          <w:rFonts w:ascii="Arial" w:hAnsi="Arial" w:cs="Arial"/>
          <w:i/>
          <w:szCs w:val="24"/>
          <w:lang w:val="es-MX"/>
        </w:rPr>
        <w:t xml:space="preserve"> pylori</w:t>
      </w:r>
      <w:r w:rsidR="0023077B" w:rsidRPr="00C93EF9">
        <w:rPr>
          <w:rFonts w:ascii="Arial" w:hAnsi="Arial" w:cs="Arial"/>
          <w:szCs w:val="24"/>
          <w:lang w:val="es-MX"/>
        </w:rPr>
        <w:t xml:space="preserve"> y </w:t>
      </w:r>
      <w:proofErr w:type="spellStart"/>
      <w:r w:rsidR="0023077B" w:rsidRPr="00C93EF9">
        <w:rPr>
          <w:rFonts w:ascii="Arial" w:hAnsi="Arial" w:cs="Arial"/>
          <w:i/>
          <w:szCs w:val="24"/>
          <w:lang w:val="es-MX"/>
        </w:rPr>
        <w:t>Mycobacterium</w:t>
      </w:r>
      <w:proofErr w:type="spellEnd"/>
      <w:r w:rsidR="0023077B" w:rsidRPr="00C93EF9">
        <w:rPr>
          <w:rFonts w:ascii="Arial" w:hAnsi="Arial" w:cs="Arial"/>
          <w:szCs w:val="24"/>
          <w:lang w:val="es-MX"/>
        </w:rPr>
        <w:t xml:space="preserve"> </w:t>
      </w:r>
      <w:proofErr w:type="spellStart"/>
      <w:r w:rsidR="0023077B" w:rsidRPr="00C93EF9">
        <w:rPr>
          <w:rFonts w:ascii="Arial" w:hAnsi="Arial" w:cs="Arial"/>
          <w:i/>
          <w:szCs w:val="24"/>
          <w:lang w:val="es-MX"/>
        </w:rPr>
        <w:t>smegmatis</w:t>
      </w:r>
      <w:proofErr w:type="spellEnd"/>
      <w:r w:rsidR="00B77476" w:rsidRPr="00C93EF9">
        <w:rPr>
          <w:rFonts w:ascii="Arial" w:hAnsi="Arial" w:cs="Arial"/>
          <w:szCs w:val="24"/>
          <w:lang w:val="es-MX"/>
        </w:rPr>
        <w:t>.</w:t>
      </w:r>
      <w:r w:rsidR="00465CEF">
        <w:rPr>
          <w:rFonts w:ascii="Arial" w:hAnsi="Arial" w:cs="Arial"/>
          <w:szCs w:val="24"/>
          <w:lang w:val="es-MX"/>
        </w:rPr>
        <w:t xml:space="preserve"> </w:t>
      </w:r>
      <w:r w:rsidR="0023077B" w:rsidRPr="00C93EF9">
        <w:rPr>
          <w:rFonts w:ascii="Arial" w:hAnsi="Arial" w:cs="Arial"/>
          <w:szCs w:val="24"/>
          <w:lang w:val="es-MX"/>
        </w:rPr>
        <w:t xml:space="preserve">Para lograr desarrollar inhibidores efectivos </w:t>
      </w:r>
      <w:r w:rsidR="00997746">
        <w:rPr>
          <w:rFonts w:ascii="Arial" w:hAnsi="Arial" w:cs="Arial"/>
          <w:szCs w:val="24"/>
          <w:lang w:val="es-MX"/>
        </w:rPr>
        <w:t>contra DapE, se han empleado</w:t>
      </w:r>
      <w:r w:rsidR="0023077B" w:rsidRPr="00C93EF9">
        <w:rPr>
          <w:rFonts w:ascii="Arial" w:hAnsi="Arial" w:cs="Arial"/>
          <w:szCs w:val="24"/>
          <w:lang w:val="es-MX"/>
        </w:rPr>
        <w:t xml:space="preserve"> detalles estructura</w:t>
      </w:r>
      <w:r w:rsidR="00465CEF">
        <w:rPr>
          <w:rFonts w:ascii="Arial" w:hAnsi="Arial" w:cs="Arial"/>
          <w:szCs w:val="24"/>
          <w:lang w:val="es-MX"/>
        </w:rPr>
        <w:t>les y funcionales de la enzima. P</w:t>
      </w:r>
      <w:r w:rsidR="0023077B" w:rsidRPr="00C93EF9">
        <w:rPr>
          <w:rFonts w:ascii="Arial" w:hAnsi="Arial" w:cs="Arial"/>
          <w:szCs w:val="24"/>
          <w:lang w:val="es-MX"/>
        </w:rPr>
        <w:t>ropo</w:t>
      </w:r>
      <w:r w:rsidR="00D12866">
        <w:rPr>
          <w:rFonts w:ascii="Arial" w:hAnsi="Arial" w:cs="Arial"/>
          <w:szCs w:val="24"/>
          <w:lang w:val="es-MX"/>
        </w:rPr>
        <w:t>nemos el potencial empleo</w:t>
      </w:r>
      <w:r w:rsidR="005B2606">
        <w:rPr>
          <w:rFonts w:ascii="Arial" w:hAnsi="Arial" w:cs="Arial"/>
          <w:szCs w:val="24"/>
          <w:lang w:val="es-MX"/>
        </w:rPr>
        <w:t xml:space="preserve"> de</w:t>
      </w:r>
      <w:r w:rsidR="0023077B" w:rsidRPr="00C93EF9">
        <w:rPr>
          <w:rFonts w:ascii="Arial" w:hAnsi="Arial" w:cs="Arial"/>
          <w:szCs w:val="24"/>
          <w:lang w:val="es-MX"/>
        </w:rPr>
        <w:t xml:space="preserve"> fármacos </w:t>
      </w:r>
      <w:r w:rsidR="00D12866">
        <w:rPr>
          <w:rFonts w:ascii="Arial" w:hAnsi="Arial" w:cs="Arial"/>
          <w:szCs w:val="24"/>
          <w:lang w:val="es-MX"/>
        </w:rPr>
        <w:t>utilizados</w:t>
      </w:r>
      <w:r w:rsidR="0023077B" w:rsidRPr="00C93EF9">
        <w:rPr>
          <w:rFonts w:ascii="Arial" w:hAnsi="Arial" w:cs="Arial"/>
          <w:szCs w:val="24"/>
          <w:lang w:val="es-MX"/>
        </w:rPr>
        <w:t xml:space="preserve"> en e</w:t>
      </w:r>
      <w:r w:rsidR="00465CEF">
        <w:rPr>
          <w:rFonts w:ascii="Arial" w:hAnsi="Arial" w:cs="Arial"/>
          <w:szCs w:val="24"/>
          <w:lang w:val="es-MX"/>
        </w:rPr>
        <w:t xml:space="preserve">l campo médico, Orfenadrina, Disulfiram, así como </w:t>
      </w:r>
      <w:proofErr w:type="spellStart"/>
      <w:r w:rsidR="00F364D1" w:rsidRPr="00C93EF9">
        <w:rPr>
          <w:rFonts w:ascii="Arial" w:hAnsi="Arial" w:cs="Arial"/>
          <w:szCs w:val="24"/>
          <w:lang w:val="es-MX"/>
        </w:rPr>
        <w:t>polifenoles</w:t>
      </w:r>
      <w:proofErr w:type="spellEnd"/>
      <w:r w:rsidR="00F364D1" w:rsidRPr="00C93EF9">
        <w:rPr>
          <w:rFonts w:ascii="Arial" w:hAnsi="Arial" w:cs="Arial"/>
          <w:szCs w:val="24"/>
          <w:lang w:val="es-MX"/>
        </w:rPr>
        <w:t xml:space="preserve">, </w:t>
      </w:r>
      <w:r w:rsidR="002078C4" w:rsidRPr="00C93EF9">
        <w:rPr>
          <w:rFonts w:ascii="Arial" w:hAnsi="Arial" w:cs="Arial"/>
          <w:szCs w:val="24"/>
          <w:lang w:val="es-MX"/>
        </w:rPr>
        <w:t xml:space="preserve">que actúan </w:t>
      </w:r>
      <w:r w:rsidR="0023077B" w:rsidRPr="00C93EF9">
        <w:rPr>
          <w:rFonts w:ascii="Arial" w:hAnsi="Arial" w:cs="Arial"/>
          <w:szCs w:val="24"/>
          <w:lang w:val="es-MX"/>
        </w:rPr>
        <w:t xml:space="preserve">como posibles </w:t>
      </w:r>
      <w:r w:rsidR="00F364D1" w:rsidRPr="00C93EF9">
        <w:rPr>
          <w:rFonts w:ascii="Arial" w:hAnsi="Arial" w:cs="Arial"/>
          <w:szCs w:val="24"/>
          <w:lang w:val="es-MX"/>
        </w:rPr>
        <w:t>antibióticos</w:t>
      </w:r>
      <w:r w:rsidR="00D40149">
        <w:rPr>
          <w:rFonts w:ascii="Arial" w:hAnsi="Arial" w:cs="Arial"/>
          <w:szCs w:val="24"/>
          <w:lang w:val="es-MX"/>
        </w:rPr>
        <w:t>. La propuesta</w:t>
      </w:r>
      <w:r w:rsidR="005A580A">
        <w:rPr>
          <w:rFonts w:ascii="Arial" w:hAnsi="Arial" w:cs="Arial"/>
          <w:szCs w:val="24"/>
          <w:lang w:val="es-MX"/>
        </w:rPr>
        <w:t xml:space="preserve"> basa</w:t>
      </w:r>
      <w:r w:rsidR="00D40149">
        <w:rPr>
          <w:rFonts w:ascii="Arial" w:hAnsi="Arial" w:cs="Arial"/>
          <w:szCs w:val="24"/>
          <w:lang w:val="es-MX"/>
        </w:rPr>
        <w:t>da</w:t>
      </w:r>
      <w:r w:rsidR="005A580A">
        <w:rPr>
          <w:rFonts w:ascii="Arial" w:hAnsi="Arial" w:cs="Arial"/>
          <w:szCs w:val="24"/>
          <w:lang w:val="es-MX"/>
        </w:rPr>
        <w:t xml:space="preserve"> en</w:t>
      </w:r>
      <w:r w:rsidR="0023077B" w:rsidRPr="00C93EF9">
        <w:rPr>
          <w:rFonts w:ascii="Arial" w:hAnsi="Arial" w:cs="Arial"/>
          <w:szCs w:val="24"/>
          <w:lang w:val="es-MX"/>
        </w:rPr>
        <w:t xml:space="preserve"> estudios de uni</w:t>
      </w:r>
      <w:r w:rsidR="003E6CD3">
        <w:rPr>
          <w:rFonts w:ascii="Arial" w:hAnsi="Arial" w:cs="Arial"/>
          <w:szCs w:val="24"/>
          <w:lang w:val="es-MX"/>
        </w:rPr>
        <w:t xml:space="preserve">ón de </w:t>
      </w:r>
      <w:proofErr w:type="spellStart"/>
      <w:r w:rsidR="003E6CD3">
        <w:rPr>
          <w:rFonts w:ascii="Arial" w:hAnsi="Arial" w:cs="Arial"/>
          <w:szCs w:val="24"/>
          <w:lang w:val="es-MX"/>
        </w:rPr>
        <w:t>ligandos</w:t>
      </w:r>
      <w:proofErr w:type="spellEnd"/>
      <w:r w:rsidR="003E6CD3">
        <w:rPr>
          <w:rFonts w:ascii="Arial" w:hAnsi="Arial" w:cs="Arial"/>
          <w:szCs w:val="24"/>
          <w:lang w:val="es-MX"/>
        </w:rPr>
        <w:t xml:space="preserve"> al equilibrio, inhibición,</w:t>
      </w:r>
      <w:r w:rsidR="005A580A">
        <w:rPr>
          <w:rFonts w:ascii="Arial" w:hAnsi="Arial" w:cs="Arial"/>
          <w:szCs w:val="24"/>
          <w:lang w:val="es-MX"/>
        </w:rPr>
        <w:t xml:space="preserve"> estabilidad térmica, análisis </w:t>
      </w:r>
      <w:proofErr w:type="spellStart"/>
      <w:r w:rsidR="005A580A">
        <w:rPr>
          <w:rFonts w:ascii="Arial" w:hAnsi="Arial" w:cs="Arial"/>
          <w:szCs w:val="24"/>
          <w:lang w:val="es-MX"/>
        </w:rPr>
        <w:t>bioinformáticos</w:t>
      </w:r>
      <w:proofErr w:type="spellEnd"/>
      <w:r w:rsidR="005A580A">
        <w:rPr>
          <w:rFonts w:ascii="Arial" w:hAnsi="Arial" w:cs="Arial"/>
          <w:szCs w:val="24"/>
          <w:lang w:val="es-MX"/>
        </w:rPr>
        <w:t xml:space="preserve"> </w:t>
      </w:r>
      <w:r w:rsidR="0023077B" w:rsidRPr="00C93EF9">
        <w:rPr>
          <w:rFonts w:ascii="Arial" w:hAnsi="Arial" w:cs="Arial"/>
          <w:szCs w:val="24"/>
          <w:lang w:val="es-MX"/>
        </w:rPr>
        <w:t xml:space="preserve">y </w:t>
      </w:r>
      <w:r w:rsidR="005A580A">
        <w:rPr>
          <w:rFonts w:ascii="Arial" w:hAnsi="Arial" w:cs="Arial"/>
          <w:szCs w:val="24"/>
          <w:lang w:val="es-MX"/>
        </w:rPr>
        <w:t>datos cristalográficos</w:t>
      </w:r>
      <w:r w:rsidR="0023077B" w:rsidRPr="00C93EF9">
        <w:rPr>
          <w:rFonts w:ascii="Arial" w:hAnsi="Arial" w:cs="Arial"/>
          <w:szCs w:val="24"/>
          <w:lang w:val="es-MX"/>
        </w:rPr>
        <w:t xml:space="preserve"> de las enzimas DapE de </w:t>
      </w:r>
      <w:r w:rsidR="0023077B" w:rsidRPr="00C93EF9">
        <w:rPr>
          <w:rFonts w:ascii="Arial" w:hAnsi="Arial" w:cs="Arial"/>
          <w:i/>
          <w:szCs w:val="24"/>
          <w:lang w:val="es-MX"/>
        </w:rPr>
        <w:t>E. coli</w:t>
      </w:r>
      <w:r w:rsidR="0023077B" w:rsidRPr="00C93EF9">
        <w:rPr>
          <w:rFonts w:ascii="Arial" w:hAnsi="Arial" w:cs="Arial"/>
          <w:szCs w:val="24"/>
          <w:lang w:val="es-MX"/>
        </w:rPr>
        <w:t xml:space="preserve"> y </w:t>
      </w:r>
      <w:r w:rsidR="0023077B" w:rsidRPr="00C93EF9">
        <w:rPr>
          <w:rFonts w:ascii="Arial" w:hAnsi="Arial" w:cs="Arial"/>
          <w:i/>
          <w:szCs w:val="24"/>
          <w:lang w:val="es-MX"/>
        </w:rPr>
        <w:t xml:space="preserve">E. </w:t>
      </w:r>
      <w:proofErr w:type="spellStart"/>
      <w:r w:rsidR="0023077B" w:rsidRPr="00C93EF9">
        <w:rPr>
          <w:rFonts w:ascii="Arial" w:hAnsi="Arial" w:cs="Arial"/>
          <w:i/>
          <w:szCs w:val="24"/>
          <w:lang w:val="es-MX"/>
        </w:rPr>
        <w:t>faecium</w:t>
      </w:r>
      <w:proofErr w:type="spellEnd"/>
      <w:r w:rsidR="0023077B" w:rsidRPr="00C93EF9">
        <w:rPr>
          <w:rFonts w:ascii="Arial" w:hAnsi="Arial" w:cs="Arial"/>
          <w:szCs w:val="24"/>
          <w:lang w:val="es-MX"/>
        </w:rPr>
        <w:t xml:space="preserve">, </w:t>
      </w:r>
      <w:r w:rsidR="00A568E0" w:rsidRPr="00C93EF9">
        <w:rPr>
          <w:rFonts w:ascii="Arial" w:hAnsi="Arial" w:cs="Arial"/>
          <w:szCs w:val="24"/>
          <w:lang w:val="es-MX"/>
        </w:rPr>
        <w:t>que servirán para</w:t>
      </w:r>
      <w:r w:rsidR="00E422F1" w:rsidRPr="00C93EF9">
        <w:rPr>
          <w:rFonts w:ascii="Arial" w:hAnsi="Arial" w:cs="Arial"/>
          <w:szCs w:val="24"/>
          <w:lang w:val="es-MX"/>
        </w:rPr>
        <w:t xml:space="preserve"> </w:t>
      </w:r>
      <w:r w:rsidR="00A568E0" w:rsidRPr="00C93EF9">
        <w:rPr>
          <w:rFonts w:ascii="Arial" w:hAnsi="Arial" w:cs="Arial"/>
          <w:szCs w:val="24"/>
          <w:lang w:val="es-MX"/>
        </w:rPr>
        <w:t xml:space="preserve">proveer datos estructurales </w:t>
      </w:r>
      <w:r w:rsidR="00FC3EB9" w:rsidRPr="00C93EF9">
        <w:rPr>
          <w:rFonts w:ascii="Arial" w:hAnsi="Arial" w:cs="Arial"/>
          <w:szCs w:val="24"/>
          <w:lang w:val="es-MX"/>
        </w:rPr>
        <w:t>a</w:t>
      </w:r>
      <w:r w:rsidR="00FC3EB9">
        <w:rPr>
          <w:rFonts w:ascii="Arial" w:hAnsi="Arial" w:cs="Arial"/>
          <w:szCs w:val="24"/>
          <w:lang w:val="es-MX"/>
        </w:rPr>
        <w:t xml:space="preserve"> </w:t>
      </w:r>
      <w:r w:rsidR="00FC3EB9" w:rsidRPr="00C93EF9">
        <w:rPr>
          <w:rFonts w:ascii="Arial" w:hAnsi="Arial" w:cs="Arial"/>
          <w:szCs w:val="24"/>
          <w:lang w:val="es-MX"/>
        </w:rPr>
        <w:t>futuras</w:t>
      </w:r>
      <w:r w:rsidR="0093015D">
        <w:rPr>
          <w:rFonts w:ascii="Arial" w:hAnsi="Arial" w:cs="Arial"/>
          <w:szCs w:val="24"/>
          <w:lang w:val="es-MX"/>
        </w:rPr>
        <w:t xml:space="preserve"> generaciones</w:t>
      </w:r>
      <w:r w:rsidR="00E422F1" w:rsidRPr="00C93EF9">
        <w:rPr>
          <w:rFonts w:ascii="Arial" w:hAnsi="Arial" w:cs="Arial"/>
          <w:szCs w:val="24"/>
          <w:lang w:val="es-MX"/>
        </w:rPr>
        <w:t xml:space="preserve"> de antibióticos.</w:t>
      </w:r>
    </w:p>
    <w:p w:rsidR="00465CEF" w:rsidRPr="00C93EF9" w:rsidRDefault="00465CEF" w:rsidP="00465CEF">
      <w:pPr>
        <w:pStyle w:val="Textoindependiente"/>
        <w:spacing w:after="120"/>
        <w:rPr>
          <w:rFonts w:ascii="Arial" w:hAnsi="Arial" w:cs="Arial"/>
          <w:szCs w:val="24"/>
          <w:lang w:val="es-MX"/>
        </w:rPr>
      </w:pPr>
      <w:r w:rsidRPr="00C93EF9">
        <w:rPr>
          <w:rFonts w:ascii="Arial" w:hAnsi="Arial" w:cs="Arial"/>
          <w:szCs w:val="24"/>
          <w:lang w:val="es-MX"/>
        </w:rPr>
        <w:t>Palabras clave: DapE, blanco antimicrobiano, inhibición, cristalografía de complejos</w:t>
      </w:r>
    </w:p>
    <w:p w:rsidR="00542C51" w:rsidRPr="0040576E" w:rsidRDefault="00EB2B42" w:rsidP="00105D61">
      <w:pPr>
        <w:pStyle w:val="Textoindependiente"/>
        <w:spacing w:after="120"/>
        <w:jc w:val="center"/>
        <w:rPr>
          <w:rFonts w:ascii="Arial" w:hAnsi="Arial" w:cs="Arial"/>
          <w:b/>
          <w:szCs w:val="24"/>
          <w:lang w:val="es-MX"/>
        </w:rPr>
      </w:pPr>
      <w:r w:rsidRPr="0040576E">
        <w:rPr>
          <w:rFonts w:ascii="Arial" w:hAnsi="Arial" w:cs="Arial"/>
          <w:b/>
          <w:szCs w:val="24"/>
          <w:lang w:val="es-MX"/>
        </w:rPr>
        <w:lastRenderedPageBreak/>
        <w:t>Introducción</w:t>
      </w:r>
    </w:p>
    <w:p w:rsidR="0040576E" w:rsidRDefault="0040576E" w:rsidP="00C93EF9">
      <w:pPr>
        <w:pStyle w:val="Textoindependiente"/>
        <w:spacing w:after="120"/>
        <w:rPr>
          <w:rFonts w:ascii="Arial" w:hAnsi="Arial"/>
          <w:szCs w:val="24"/>
        </w:rPr>
      </w:pPr>
      <w:r w:rsidRPr="00B36CE9">
        <w:rPr>
          <w:rFonts w:ascii="Arial" w:hAnsi="Arial"/>
          <w:szCs w:val="24"/>
        </w:rPr>
        <w:t xml:space="preserve">El crecimiento y el combate de las infecciones por bacterias persistentes y </w:t>
      </w:r>
      <w:proofErr w:type="spellStart"/>
      <w:r w:rsidRPr="00B36CE9">
        <w:rPr>
          <w:rFonts w:ascii="Arial" w:hAnsi="Arial"/>
          <w:szCs w:val="24"/>
        </w:rPr>
        <w:t>multir</w:t>
      </w:r>
      <w:r>
        <w:rPr>
          <w:rFonts w:ascii="Arial" w:hAnsi="Arial"/>
          <w:szCs w:val="24"/>
        </w:rPr>
        <w:t>r</w:t>
      </w:r>
      <w:r w:rsidRPr="00B36CE9">
        <w:rPr>
          <w:rFonts w:ascii="Arial" w:hAnsi="Arial"/>
          <w:szCs w:val="24"/>
        </w:rPr>
        <w:t>esistentes</w:t>
      </w:r>
      <w:proofErr w:type="spellEnd"/>
      <w:r w:rsidRPr="00B36CE9">
        <w:rPr>
          <w:rFonts w:ascii="Arial" w:hAnsi="Arial"/>
          <w:szCs w:val="24"/>
        </w:rPr>
        <w:t xml:space="preserve"> a antibióticos es un problema central</w:t>
      </w:r>
      <w:r>
        <w:rPr>
          <w:rFonts w:ascii="Arial" w:hAnsi="Arial"/>
          <w:szCs w:val="24"/>
        </w:rPr>
        <w:t xml:space="preserve"> </w:t>
      </w:r>
      <w:sdt>
        <w:sdtPr>
          <w:rPr>
            <w:rFonts w:ascii="Arial" w:hAnsi="Arial"/>
            <w:szCs w:val="24"/>
          </w:rPr>
          <w:id w:val="-1084456663"/>
          <w:citation/>
        </w:sdtPr>
        <w:sdtEndPr/>
        <w:sdtContent>
          <w:r>
            <w:rPr>
              <w:rFonts w:ascii="Arial" w:hAnsi="Arial"/>
              <w:szCs w:val="24"/>
            </w:rPr>
            <w:fldChar w:fldCharType="begin"/>
          </w:r>
          <w:r>
            <w:rPr>
              <w:rFonts w:ascii="Arial" w:hAnsi="Arial"/>
              <w:szCs w:val="24"/>
              <w:lang w:val="es-MX"/>
            </w:rPr>
            <w:instrText xml:space="preserve">CITATION Pap \l 2058 </w:instrText>
          </w:r>
          <w:r>
            <w:rPr>
              <w:rFonts w:ascii="Arial" w:hAnsi="Arial"/>
              <w:szCs w:val="24"/>
            </w:rPr>
            <w:fldChar w:fldCharType="separate"/>
          </w:r>
          <w:r w:rsidRPr="00033708">
            <w:rPr>
              <w:rFonts w:ascii="Arial" w:hAnsi="Arial"/>
              <w:noProof/>
              <w:szCs w:val="24"/>
              <w:lang w:val="es-MX"/>
            </w:rPr>
            <w:t>(Paphitou, 2013)</w:t>
          </w:r>
          <w:r>
            <w:rPr>
              <w:rFonts w:ascii="Arial" w:hAnsi="Arial"/>
              <w:szCs w:val="24"/>
            </w:rPr>
            <w:fldChar w:fldCharType="end"/>
          </w:r>
        </w:sdtContent>
      </w:sdt>
      <w:r>
        <w:rPr>
          <w:rFonts w:ascii="Arial" w:hAnsi="Arial"/>
          <w:szCs w:val="24"/>
        </w:rPr>
        <w:t>.</w:t>
      </w:r>
      <w:r w:rsidRPr="00B36CE9">
        <w:rPr>
          <w:rFonts w:ascii="Arial" w:hAnsi="Arial"/>
          <w:szCs w:val="24"/>
        </w:rPr>
        <w:t xml:space="preserve"> La búsqueda de nuevos antibióticos dirigidos contra blancos </w:t>
      </w:r>
      <w:proofErr w:type="spellStart"/>
      <w:r w:rsidRPr="00B36CE9">
        <w:rPr>
          <w:rFonts w:ascii="Arial" w:hAnsi="Arial"/>
          <w:szCs w:val="24"/>
        </w:rPr>
        <w:t>biomacromoleculares</w:t>
      </w:r>
      <w:proofErr w:type="spellEnd"/>
      <w:r w:rsidRPr="00B36CE9">
        <w:rPr>
          <w:rFonts w:ascii="Arial" w:hAnsi="Arial"/>
          <w:szCs w:val="24"/>
        </w:rPr>
        <w:t xml:space="preserve"> alternativos</w:t>
      </w:r>
      <w:r>
        <w:rPr>
          <w:rFonts w:ascii="Arial" w:hAnsi="Arial"/>
          <w:szCs w:val="24"/>
        </w:rPr>
        <w:t xml:space="preserve"> a los hoy empleados</w:t>
      </w:r>
      <w:r w:rsidRPr="00B36CE9">
        <w:rPr>
          <w:rFonts w:ascii="Arial" w:hAnsi="Arial"/>
          <w:szCs w:val="24"/>
        </w:rPr>
        <w:t>, constituye una importante estrategia para combatir a tales infecciones. Las enzimas de las rutas involucradas en la biosíntesis, remodelación y degradación de los componentes de la pared celular son un excelente blanco</w:t>
      </w:r>
      <w:r>
        <w:rPr>
          <w:rFonts w:ascii="Arial" w:hAnsi="Arial"/>
          <w:szCs w:val="24"/>
        </w:rPr>
        <w:t xml:space="preserve"> potencial</w:t>
      </w:r>
      <w:r w:rsidRPr="00B36CE9">
        <w:rPr>
          <w:rFonts w:ascii="Arial" w:hAnsi="Arial"/>
          <w:szCs w:val="24"/>
        </w:rPr>
        <w:t xml:space="preserve"> para el desarrollo de nuevos antibióticos</w:t>
      </w:r>
      <w:r>
        <w:rPr>
          <w:rFonts w:ascii="Arial" w:hAnsi="Arial"/>
          <w:szCs w:val="24"/>
        </w:rPr>
        <w:t xml:space="preserve"> </w:t>
      </w:r>
      <w:sdt>
        <w:sdtPr>
          <w:rPr>
            <w:rFonts w:ascii="Arial" w:hAnsi="Arial"/>
            <w:szCs w:val="24"/>
          </w:rPr>
          <w:id w:val="-1756665863"/>
          <w:citation/>
        </w:sdtPr>
        <w:sdtEndPr/>
        <w:sdtContent>
          <w:r>
            <w:rPr>
              <w:rFonts w:ascii="Arial" w:hAnsi="Arial"/>
              <w:szCs w:val="24"/>
            </w:rPr>
            <w:fldChar w:fldCharType="begin"/>
          </w:r>
          <w:r>
            <w:rPr>
              <w:rFonts w:ascii="Arial" w:hAnsi="Arial"/>
              <w:szCs w:val="24"/>
              <w:lang w:val="es-MX"/>
            </w:rPr>
            <w:instrText xml:space="preserve"> CITATION Alc17 \l 2058 </w:instrText>
          </w:r>
          <w:r>
            <w:rPr>
              <w:rFonts w:ascii="Arial" w:hAnsi="Arial"/>
              <w:szCs w:val="24"/>
            </w:rPr>
            <w:fldChar w:fldCharType="separate"/>
          </w:r>
          <w:r w:rsidRPr="00033708">
            <w:rPr>
              <w:rFonts w:ascii="Arial" w:hAnsi="Arial"/>
              <w:noProof/>
              <w:szCs w:val="24"/>
              <w:lang w:val="es-MX"/>
            </w:rPr>
            <w:t>(Alcorlo, 2017)</w:t>
          </w:r>
          <w:r>
            <w:rPr>
              <w:rFonts w:ascii="Arial" w:hAnsi="Arial"/>
              <w:szCs w:val="24"/>
            </w:rPr>
            <w:fldChar w:fldCharType="end"/>
          </w:r>
        </w:sdtContent>
      </w:sdt>
      <w:r w:rsidRPr="00B36CE9">
        <w:rPr>
          <w:rFonts w:ascii="Arial" w:hAnsi="Arial"/>
          <w:szCs w:val="24"/>
        </w:rPr>
        <w:t xml:space="preserve">. Uno de los componentes mayores de la pared celular de las bacterias es el </w:t>
      </w:r>
      <w:proofErr w:type="spellStart"/>
      <w:r w:rsidRPr="00B36CE9">
        <w:rPr>
          <w:rFonts w:ascii="Arial" w:hAnsi="Arial"/>
          <w:szCs w:val="24"/>
        </w:rPr>
        <w:t>peptidoglicano</w:t>
      </w:r>
      <w:proofErr w:type="spellEnd"/>
      <w:r w:rsidRPr="00B36CE9">
        <w:rPr>
          <w:rFonts w:ascii="Arial" w:hAnsi="Arial"/>
          <w:szCs w:val="24"/>
        </w:rPr>
        <w:t>, un polisacárido</w:t>
      </w:r>
      <w:r>
        <w:rPr>
          <w:rFonts w:ascii="Arial" w:hAnsi="Arial"/>
          <w:szCs w:val="24"/>
        </w:rPr>
        <w:t xml:space="preserve"> complejo de </w:t>
      </w:r>
      <w:proofErr w:type="spellStart"/>
      <w:r>
        <w:rPr>
          <w:rFonts w:ascii="Arial" w:hAnsi="Arial"/>
          <w:szCs w:val="24"/>
        </w:rPr>
        <w:t>mureína</w:t>
      </w:r>
      <w:proofErr w:type="spellEnd"/>
      <w:r w:rsidRPr="00B36CE9">
        <w:rPr>
          <w:rFonts w:ascii="Arial" w:hAnsi="Arial"/>
          <w:szCs w:val="24"/>
        </w:rPr>
        <w:t xml:space="preserve"> entrecruza</w:t>
      </w:r>
      <w:r>
        <w:rPr>
          <w:rFonts w:ascii="Arial" w:hAnsi="Arial"/>
          <w:szCs w:val="24"/>
        </w:rPr>
        <w:t xml:space="preserve">do con péptidos no ribosómicos, </w:t>
      </w:r>
      <w:r w:rsidRPr="00B36CE9">
        <w:rPr>
          <w:rFonts w:ascii="Arial" w:hAnsi="Arial"/>
          <w:szCs w:val="24"/>
        </w:rPr>
        <w:t xml:space="preserve">provee a la pared celular el soporte necesario para resistir </w:t>
      </w:r>
      <w:r>
        <w:rPr>
          <w:rFonts w:ascii="Arial" w:hAnsi="Arial"/>
          <w:szCs w:val="24"/>
        </w:rPr>
        <w:t xml:space="preserve">los cambios en </w:t>
      </w:r>
      <w:r w:rsidRPr="00B36CE9">
        <w:rPr>
          <w:rFonts w:ascii="Arial" w:hAnsi="Arial"/>
          <w:szCs w:val="24"/>
        </w:rPr>
        <w:t>las presiones osmóticas y su metabolismo es importante para el crecimiento, división, morfología y anclaje celular</w:t>
      </w:r>
      <w:r>
        <w:rPr>
          <w:rFonts w:ascii="Arial" w:hAnsi="Arial"/>
          <w:szCs w:val="24"/>
        </w:rPr>
        <w:t xml:space="preserve"> </w:t>
      </w:r>
      <w:sdt>
        <w:sdtPr>
          <w:rPr>
            <w:rFonts w:ascii="Arial" w:hAnsi="Arial"/>
            <w:szCs w:val="24"/>
          </w:rPr>
          <w:id w:val="1497530362"/>
          <w:citation/>
        </w:sdtPr>
        <w:sdtEndPr/>
        <w:sdtContent>
          <w:r>
            <w:rPr>
              <w:rFonts w:ascii="Arial" w:hAnsi="Arial"/>
              <w:szCs w:val="24"/>
            </w:rPr>
            <w:fldChar w:fldCharType="begin"/>
          </w:r>
          <w:r>
            <w:rPr>
              <w:rFonts w:ascii="Arial" w:hAnsi="Arial"/>
              <w:szCs w:val="24"/>
              <w:lang w:val="es-MX"/>
            </w:rPr>
            <w:instrText xml:space="preserve"> CITATION Dra081 \l 2058  \m Vol081</w:instrText>
          </w:r>
          <w:r>
            <w:rPr>
              <w:rFonts w:ascii="Arial" w:hAnsi="Arial"/>
              <w:szCs w:val="24"/>
            </w:rPr>
            <w:fldChar w:fldCharType="separate"/>
          </w:r>
          <w:r w:rsidRPr="00033708">
            <w:rPr>
              <w:rFonts w:ascii="Arial" w:hAnsi="Arial"/>
              <w:noProof/>
              <w:szCs w:val="24"/>
              <w:lang w:val="es-MX"/>
            </w:rPr>
            <w:t>(Dramsi, 2008; Vollmer, 2008)</w:t>
          </w:r>
          <w:r>
            <w:rPr>
              <w:rFonts w:ascii="Arial" w:hAnsi="Arial"/>
              <w:szCs w:val="24"/>
            </w:rPr>
            <w:fldChar w:fldCharType="end"/>
          </w:r>
        </w:sdtContent>
      </w:sdt>
      <w:r>
        <w:rPr>
          <w:rFonts w:ascii="Arial" w:hAnsi="Arial"/>
          <w:szCs w:val="24"/>
        </w:rPr>
        <w:t xml:space="preserve">. </w:t>
      </w:r>
      <w:r w:rsidRPr="00B36CE9">
        <w:rPr>
          <w:rFonts w:ascii="Arial" w:hAnsi="Arial"/>
          <w:szCs w:val="24"/>
        </w:rPr>
        <w:t xml:space="preserve">En bacterias Gram negativas, uno de los aminoácidos claves en el entrecruzamiento es el </w:t>
      </w:r>
      <w:r w:rsidRPr="00EC56C7">
        <w:rPr>
          <w:rFonts w:ascii="Arial" w:hAnsi="Arial"/>
          <w:i/>
          <w:szCs w:val="24"/>
        </w:rPr>
        <w:t>meso</w:t>
      </w:r>
      <w:r w:rsidRPr="00B36CE9">
        <w:rPr>
          <w:rFonts w:ascii="Arial" w:hAnsi="Arial"/>
          <w:szCs w:val="24"/>
        </w:rPr>
        <w:t>-</w:t>
      </w:r>
      <w:proofErr w:type="spellStart"/>
      <w:r w:rsidRPr="00B36CE9">
        <w:rPr>
          <w:rFonts w:ascii="Arial" w:hAnsi="Arial"/>
          <w:szCs w:val="24"/>
        </w:rPr>
        <w:t>diaminopimelato</w:t>
      </w:r>
      <w:proofErr w:type="spellEnd"/>
      <w:r w:rsidRPr="00B36CE9">
        <w:rPr>
          <w:rFonts w:ascii="Arial" w:hAnsi="Arial"/>
          <w:szCs w:val="24"/>
        </w:rPr>
        <w:t xml:space="preserve"> (mD</w:t>
      </w:r>
      <w:r>
        <w:rPr>
          <w:rFonts w:ascii="Arial" w:hAnsi="Arial"/>
          <w:szCs w:val="24"/>
        </w:rPr>
        <w:t>AP</w:t>
      </w:r>
      <w:r w:rsidRPr="00B36CE9">
        <w:rPr>
          <w:rFonts w:ascii="Arial" w:hAnsi="Arial"/>
          <w:szCs w:val="24"/>
        </w:rPr>
        <w:t xml:space="preserve">) y en Gram </w:t>
      </w:r>
      <w:r>
        <w:rPr>
          <w:rFonts w:ascii="Arial" w:hAnsi="Arial"/>
          <w:szCs w:val="24"/>
        </w:rPr>
        <w:t>positivas es la L-Lys</w:t>
      </w:r>
      <w:r w:rsidRPr="00B36CE9">
        <w:rPr>
          <w:rFonts w:ascii="Arial" w:hAnsi="Arial"/>
          <w:szCs w:val="24"/>
        </w:rPr>
        <w:t xml:space="preserve">. Estos aminoácidos son </w:t>
      </w:r>
      <w:proofErr w:type="spellStart"/>
      <w:r w:rsidRPr="00B36CE9">
        <w:rPr>
          <w:rFonts w:ascii="Arial" w:hAnsi="Arial"/>
          <w:szCs w:val="24"/>
        </w:rPr>
        <w:t>biosintetizados</w:t>
      </w:r>
      <w:proofErr w:type="spellEnd"/>
      <w:r>
        <w:rPr>
          <w:rFonts w:ascii="Arial" w:hAnsi="Arial"/>
          <w:szCs w:val="24"/>
        </w:rPr>
        <w:t xml:space="preserve"> por la ruta mDAP/Lys</w:t>
      </w:r>
      <w:r w:rsidRPr="00B36CE9">
        <w:rPr>
          <w:rFonts w:ascii="Arial" w:hAnsi="Arial"/>
          <w:szCs w:val="24"/>
        </w:rPr>
        <w:t xml:space="preserve"> y son esenciales para el crecimiento microbiano.</w:t>
      </w:r>
      <w:r>
        <w:rPr>
          <w:rFonts w:ascii="Arial" w:hAnsi="Arial"/>
          <w:szCs w:val="24"/>
        </w:rPr>
        <w:t xml:space="preserve"> </w:t>
      </w:r>
      <w:r w:rsidRPr="00B36CE9">
        <w:rPr>
          <w:rFonts w:ascii="Arial" w:hAnsi="Arial"/>
          <w:szCs w:val="24"/>
        </w:rPr>
        <w:t>El bloqueo de esta ruta es letal</w:t>
      </w:r>
      <w:r>
        <w:rPr>
          <w:rFonts w:ascii="Arial" w:hAnsi="Arial"/>
          <w:szCs w:val="24"/>
        </w:rPr>
        <w:t xml:space="preserve"> </w:t>
      </w:r>
      <w:sdt>
        <w:sdtPr>
          <w:rPr>
            <w:rFonts w:ascii="Arial" w:hAnsi="Arial"/>
            <w:szCs w:val="24"/>
          </w:rPr>
          <w:id w:val="763969494"/>
          <w:citation/>
        </w:sdtPr>
        <w:sdtEndPr/>
        <w:sdtContent>
          <w:r>
            <w:rPr>
              <w:rFonts w:ascii="Arial" w:hAnsi="Arial"/>
              <w:szCs w:val="24"/>
            </w:rPr>
            <w:fldChar w:fldCharType="begin"/>
          </w:r>
          <w:r>
            <w:rPr>
              <w:rFonts w:ascii="Arial" w:hAnsi="Arial"/>
              <w:szCs w:val="24"/>
              <w:lang w:val="es-MX"/>
            </w:rPr>
            <w:instrText xml:space="preserve"> CITATION Bor991 \l 2058 </w:instrText>
          </w:r>
          <w:r>
            <w:rPr>
              <w:rFonts w:ascii="Arial" w:hAnsi="Arial"/>
              <w:szCs w:val="24"/>
            </w:rPr>
            <w:fldChar w:fldCharType="separate"/>
          </w:r>
          <w:r w:rsidRPr="00033708">
            <w:rPr>
              <w:rFonts w:ascii="Arial" w:hAnsi="Arial"/>
              <w:noProof/>
              <w:szCs w:val="24"/>
              <w:lang w:val="es-MX"/>
            </w:rPr>
            <w:t>(Born, 1999)</w:t>
          </w:r>
          <w:r>
            <w:rPr>
              <w:rFonts w:ascii="Arial" w:hAnsi="Arial"/>
              <w:szCs w:val="24"/>
            </w:rPr>
            <w:fldChar w:fldCharType="end"/>
          </w:r>
        </w:sdtContent>
      </w:sdt>
      <w:r w:rsidRPr="00B36CE9">
        <w:rPr>
          <w:rFonts w:ascii="Arial" w:hAnsi="Arial"/>
          <w:szCs w:val="24"/>
        </w:rPr>
        <w:t>, en especial</w:t>
      </w:r>
      <w:r>
        <w:rPr>
          <w:rFonts w:ascii="Arial" w:hAnsi="Arial"/>
          <w:szCs w:val="24"/>
        </w:rPr>
        <w:t xml:space="preserve"> la interrupción del gen </w:t>
      </w:r>
      <w:proofErr w:type="spellStart"/>
      <w:r w:rsidRPr="004D5FE5">
        <w:rPr>
          <w:rFonts w:ascii="Arial" w:hAnsi="Arial"/>
          <w:i/>
          <w:szCs w:val="24"/>
        </w:rPr>
        <w:t>dape</w:t>
      </w:r>
      <w:proofErr w:type="spellEnd"/>
      <w:r w:rsidRPr="00B36CE9">
        <w:rPr>
          <w:rFonts w:ascii="Arial" w:hAnsi="Arial"/>
          <w:szCs w:val="24"/>
        </w:rPr>
        <w:t>, aun en presencia de L-Lys y mDap suplement</w:t>
      </w:r>
      <w:r>
        <w:rPr>
          <w:rFonts w:ascii="Arial" w:hAnsi="Arial"/>
          <w:szCs w:val="24"/>
        </w:rPr>
        <w:t xml:space="preserve">ado en el medio de crecimiento </w:t>
      </w:r>
      <w:sdt>
        <w:sdtPr>
          <w:rPr>
            <w:rFonts w:ascii="Arial" w:hAnsi="Arial"/>
            <w:szCs w:val="24"/>
          </w:rPr>
          <w:id w:val="859698651"/>
          <w:citation/>
        </w:sdtPr>
        <w:sdtEndPr/>
        <w:sdtContent>
          <w:r>
            <w:rPr>
              <w:rFonts w:ascii="Arial" w:hAnsi="Arial"/>
              <w:szCs w:val="24"/>
            </w:rPr>
            <w:fldChar w:fldCharType="begin"/>
          </w:r>
          <w:r>
            <w:rPr>
              <w:rFonts w:ascii="Arial" w:hAnsi="Arial"/>
              <w:szCs w:val="24"/>
              <w:lang w:val="es-MX"/>
            </w:rPr>
            <w:instrText xml:space="preserve"> CITATION Kar971 \l 2058 </w:instrText>
          </w:r>
          <w:r>
            <w:rPr>
              <w:rFonts w:ascii="Arial" w:hAnsi="Arial"/>
              <w:szCs w:val="24"/>
            </w:rPr>
            <w:fldChar w:fldCharType="separate"/>
          </w:r>
          <w:r w:rsidRPr="004B2DCC">
            <w:rPr>
              <w:rFonts w:ascii="Arial" w:hAnsi="Arial"/>
              <w:noProof/>
              <w:szCs w:val="24"/>
              <w:lang w:val="es-MX"/>
            </w:rPr>
            <w:t>(Karita, 1997)</w:t>
          </w:r>
          <w:r>
            <w:rPr>
              <w:rFonts w:ascii="Arial" w:hAnsi="Arial"/>
              <w:szCs w:val="24"/>
            </w:rPr>
            <w:fldChar w:fldCharType="end"/>
          </w:r>
        </w:sdtContent>
      </w:sdt>
      <w:r>
        <w:rPr>
          <w:rFonts w:ascii="Arial" w:hAnsi="Arial"/>
          <w:szCs w:val="24"/>
        </w:rPr>
        <w:t xml:space="preserve">. </w:t>
      </w:r>
      <w:r w:rsidRPr="00B36CE9">
        <w:rPr>
          <w:rFonts w:ascii="Arial" w:hAnsi="Arial"/>
          <w:szCs w:val="24"/>
        </w:rPr>
        <w:t>Esto pone en relieve la importancia de DapE y otras enzimas de esta ruta</w:t>
      </w:r>
      <w:r>
        <w:rPr>
          <w:rFonts w:ascii="Arial" w:hAnsi="Arial"/>
          <w:szCs w:val="24"/>
        </w:rPr>
        <w:t xml:space="preserve"> </w:t>
      </w:r>
      <w:sdt>
        <w:sdtPr>
          <w:rPr>
            <w:rFonts w:ascii="Arial" w:hAnsi="Arial"/>
            <w:szCs w:val="24"/>
          </w:rPr>
          <w:id w:val="1372651998"/>
          <w:citation/>
        </w:sdtPr>
        <w:sdtEndPr/>
        <w:sdtContent>
          <w:r>
            <w:rPr>
              <w:rFonts w:ascii="Arial" w:hAnsi="Arial"/>
              <w:szCs w:val="24"/>
            </w:rPr>
            <w:fldChar w:fldCharType="begin"/>
          </w:r>
          <w:r>
            <w:rPr>
              <w:rFonts w:ascii="Arial" w:hAnsi="Arial"/>
              <w:szCs w:val="24"/>
              <w:lang w:val="es-MX"/>
            </w:rPr>
            <w:instrText xml:space="preserve">CITATION Gil13 \l 2058 </w:instrText>
          </w:r>
          <w:r>
            <w:rPr>
              <w:rFonts w:ascii="Arial" w:hAnsi="Arial"/>
              <w:szCs w:val="24"/>
            </w:rPr>
            <w:fldChar w:fldCharType="separate"/>
          </w:r>
          <w:r w:rsidRPr="003D3560">
            <w:rPr>
              <w:rFonts w:ascii="Arial" w:hAnsi="Arial"/>
              <w:noProof/>
              <w:szCs w:val="24"/>
              <w:lang w:val="es-MX"/>
            </w:rPr>
            <w:t>(Gillner &amp; Holz, 2013)</w:t>
          </w:r>
          <w:r>
            <w:rPr>
              <w:rFonts w:ascii="Arial" w:hAnsi="Arial"/>
              <w:szCs w:val="24"/>
            </w:rPr>
            <w:fldChar w:fldCharType="end"/>
          </w:r>
        </w:sdtContent>
      </w:sdt>
      <w:r w:rsidRPr="00B36CE9">
        <w:rPr>
          <w:rFonts w:ascii="Arial" w:hAnsi="Arial"/>
          <w:szCs w:val="24"/>
        </w:rPr>
        <w:t>. En el banco de datos de proteínas (PDB) existe por lo menos una estructura cristalina de cada una de las enzimas de la ruta, hecho que resalta aún más su importancia y enfoque en el diseño de nuevos antibióticos. Un aspecto aún más prometedor de esta quimioterapia bacteriana, es que no existen actividades similares en humanos, lo que reduce la inhibición no deseada de funciones en éstos. Aquí se comunican los aspectos químicos relevantes de la estructura, función e inhibici</w:t>
      </w:r>
      <w:r>
        <w:rPr>
          <w:rFonts w:ascii="Arial" w:hAnsi="Arial"/>
          <w:szCs w:val="24"/>
        </w:rPr>
        <w:t xml:space="preserve">ón de la enzima DapE, </w:t>
      </w:r>
      <w:r w:rsidRPr="00B36CE9">
        <w:rPr>
          <w:rFonts w:ascii="Arial" w:hAnsi="Arial"/>
          <w:szCs w:val="24"/>
        </w:rPr>
        <w:t xml:space="preserve">presente en prácticamente todas las bacterias a las que se les conoce su genoma, y ausente en humanos. </w:t>
      </w:r>
      <w:r>
        <w:rPr>
          <w:rFonts w:ascii="Arial" w:hAnsi="Arial"/>
          <w:szCs w:val="24"/>
        </w:rPr>
        <w:t>Razón por la que en el presente proyecto de investigación se propone la implementación de</w:t>
      </w:r>
      <w:r w:rsidRPr="00943027">
        <w:rPr>
          <w:rFonts w:ascii="Arial" w:hAnsi="Arial"/>
          <w:szCs w:val="24"/>
        </w:rPr>
        <w:t xml:space="preserve"> inhibidores estructuralmente </w:t>
      </w:r>
      <w:r>
        <w:rPr>
          <w:rFonts w:ascii="Arial" w:hAnsi="Arial"/>
          <w:szCs w:val="24"/>
        </w:rPr>
        <w:t>selectivos a su sitio activo.</w:t>
      </w:r>
    </w:p>
    <w:p w:rsidR="0040576E" w:rsidRPr="0040576E" w:rsidRDefault="0040576E" w:rsidP="00C93EF9">
      <w:pPr>
        <w:pStyle w:val="Textoindependiente"/>
        <w:spacing w:after="120"/>
        <w:rPr>
          <w:rFonts w:ascii="Arial" w:hAnsi="Arial"/>
          <w:szCs w:val="24"/>
        </w:rPr>
      </w:pPr>
    </w:p>
    <w:p w:rsidR="00EB2B42" w:rsidRDefault="00EB2B42" w:rsidP="00105D61">
      <w:pPr>
        <w:pStyle w:val="Textoindependiente"/>
        <w:spacing w:after="120"/>
        <w:jc w:val="center"/>
        <w:rPr>
          <w:rFonts w:ascii="Arial" w:hAnsi="Arial" w:cs="Arial"/>
          <w:b/>
          <w:szCs w:val="24"/>
          <w:lang w:val="es-MX"/>
        </w:rPr>
      </w:pPr>
      <w:r w:rsidRPr="00105D61">
        <w:rPr>
          <w:rFonts w:ascii="Arial" w:hAnsi="Arial" w:cs="Arial"/>
          <w:b/>
          <w:szCs w:val="24"/>
          <w:lang w:val="es-MX"/>
        </w:rPr>
        <w:lastRenderedPageBreak/>
        <w:t>De</w:t>
      </w:r>
      <w:r w:rsidR="00105D61" w:rsidRPr="00105D61">
        <w:rPr>
          <w:rFonts w:ascii="Arial" w:hAnsi="Arial" w:cs="Arial"/>
          <w:b/>
          <w:szCs w:val="24"/>
          <w:lang w:val="es-MX"/>
        </w:rPr>
        <w:t>sarrollo</w:t>
      </w:r>
    </w:p>
    <w:p w:rsidR="00FD29FC" w:rsidRPr="001F2F83" w:rsidRDefault="00C7378F" w:rsidP="00FD29FC">
      <w:pPr>
        <w:tabs>
          <w:tab w:val="right" w:pos="8640"/>
        </w:tabs>
        <w:spacing w:after="0" w:line="360" w:lineRule="auto"/>
        <w:jc w:val="both"/>
        <w:rPr>
          <w:rFonts w:ascii="Arial" w:eastAsia="MS Mincho" w:hAnsi="Arial" w:cs="Arial"/>
          <w:spacing w:val="-2"/>
          <w:sz w:val="24"/>
          <w:szCs w:val="20"/>
        </w:rPr>
      </w:pPr>
      <w:r>
        <w:rPr>
          <w:rFonts w:ascii="Arial" w:eastAsia="MS Mincho" w:hAnsi="Arial" w:cs="Arial"/>
          <w:spacing w:val="-2"/>
          <w:sz w:val="24"/>
          <w:szCs w:val="20"/>
          <w:lang w:val="es-ES"/>
        </w:rPr>
        <w:t>DapE es reconocida como</w:t>
      </w:r>
      <w:r w:rsidR="00FD29FC" w:rsidRPr="00FD29FC">
        <w:rPr>
          <w:rFonts w:ascii="Arial" w:eastAsia="MS Mincho" w:hAnsi="Arial" w:cs="Arial"/>
          <w:spacing w:val="-2"/>
          <w:sz w:val="24"/>
          <w:szCs w:val="20"/>
          <w:lang w:val="es-ES"/>
        </w:rPr>
        <w:t xml:space="preserve"> punto potencial para el control y combate de infecciones bacterianas </w:t>
      </w:r>
      <w:sdt>
        <w:sdtPr>
          <w:rPr>
            <w:rFonts w:ascii="Arial" w:eastAsia="MS Mincho" w:hAnsi="Arial" w:cs="Arial"/>
            <w:spacing w:val="-2"/>
            <w:sz w:val="24"/>
            <w:szCs w:val="20"/>
            <w:lang w:val="es-ES"/>
          </w:rPr>
          <w:id w:val="-1823647601"/>
          <w:citation/>
        </w:sdtPr>
        <w:sdtEndPr/>
        <w:sdtContent>
          <w:r w:rsidR="00FD29FC" w:rsidRPr="00FD29FC">
            <w:rPr>
              <w:rFonts w:ascii="Arial" w:eastAsia="MS Mincho" w:hAnsi="Arial" w:cs="Arial"/>
              <w:spacing w:val="-2"/>
              <w:sz w:val="24"/>
              <w:szCs w:val="20"/>
              <w:lang w:val="es-ES"/>
            </w:rPr>
            <w:fldChar w:fldCharType="begin"/>
          </w:r>
          <w:r w:rsidR="00FD29FC" w:rsidRPr="00FD29FC">
            <w:rPr>
              <w:rFonts w:ascii="Arial" w:eastAsia="MS Mincho" w:hAnsi="Arial" w:cs="Arial"/>
              <w:spacing w:val="-2"/>
              <w:sz w:val="24"/>
              <w:szCs w:val="20"/>
            </w:rPr>
            <w:instrText xml:space="preserve">CITATION Gil09 \l 2058 </w:instrText>
          </w:r>
          <w:r w:rsidR="00FD29FC" w:rsidRPr="00FD29FC">
            <w:rPr>
              <w:rFonts w:ascii="Arial" w:eastAsia="MS Mincho" w:hAnsi="Arial" w:cs="Arial"/>
              <w:spacing w:val="-2"/>
              <w:sz w:val="24"/>
              <w:szCs w:val="20"/>
              <w:lang w:val="es-ES"/>
            </w:rPr>
            <w:fldChar w:fldCharType="separate"/>
          </w:r>
          <w:r w:rsidR="00FD29FC" w:rsidRPr="00FD29FC">
            <w:rPr>
              <w:rFonts w:ascii="Arial" w:eastAsia="MS Mincho" w:hAnsi="Arial" w:cs="Arial"/>
              <w:noProof/>
              <w:spacing w:val="-2"/>
              <w:sz w:val="24"/>
              <w:szCs w:val="20"/>
            </w:rPr>
            <w:t>(Gillner &amp; Holz, 2009)</w:t>
          </w:r>
          <w:r w:rsidR="00FD29FC" w:rsidRPr="00FD29FC">
            <w:rPr>
              <w:rFonts w:ascii="Arial" w:eastAsia="MS Mincho" w:hAnsi="Arial" w:cs="Arial"/>
              <w:spacing w:val="-2"/>
              <w:sz w:val="24"/>
              <w:szCs w:val="20"/>
              <w:lang w:val="es-ES"/>
            </w:rPr>
            <w:fldChar w:fldCharType="end"/>
          </w:r>
        </w:sdtContent>
      </w:sdt>
      <w:r w:rsidR="00FD29FC" w:rsidRPr="00FD29FC">
        <w:rPr>
          <w:rFonts w:ascii="Arial" w:eastAsia="MS Mincho" w:hAnsi="Arial" w:cs="Arial"/>
          <w:spacing w:val="-2"/>
          <w:sz w:val="24"/>
          <w:szCs w:val="20"/>
          <w:lang w:val="es-ES"/>
        </w:rPr>
        <w:t xml:space="preserve"> en especial las causadas por las denominadas bacterias ESKAPE</w:t>
      </w:r>
      <w:r w:rsidR="00FD29FC">
        <w:rPr>
          <w:rFonts w:ascii="Arial" w:eastAsia="MS Mincho" w:hAnsi="Arial" w:cs="Arial"/>
          <w:spacing w:val="-2"/>
          <w:sz w:val="24"/>
          <w:szCs w:val="20"/>
          <w:lang w:val="es-ES"/>
        </w:rPr>
        <w:t xml:space="preserve"> (</w:t>
      </w:r>
      <w:proofErr w:type="spellStart"/>
      <w:r w:rsidR="00FD29FC" w:rsidRPr="00FD29FC">
        <w:rPr>
          <w:rFonts w:ascii="Arial" w:eastAsia="MS Mincho" w:hAnsi="Arial" w:cs="Arial"/>
          <w:i/>
          <w:spacing w:val="-2"/>
          <w:sz w:val="24"/>
          <w:szCs w:val="20"/>
          <w:lang w:val="es-ES"/>
        </w:rPr>
        <w:t>Enterococcus</w:t>
      </w:r>
      <w:proofErr w:type="spellEnd"/>
      <w:r w:rsidR="00FD29FC" w:rsidRPr="00FD29FC">
        <w:rPr>
          <w:rFonts w:ascii="Arial" w:eastAsia="MS Mincho" w:hAnsi="Arial" w:cs="Arial"/>
          <w:i/>
          <w:spacing w:val="-2"/>
          <w:sz w:val="24"/>
          <w:szCs w:val="20"/>
          <w:lang w:val="es-ES"/>
        </w:rPr>
        <w:t xml:space="preserve"> </w:t>
      </w:r>
      <w:proofErr w:type="spellStart"/>
      <w:r w:rsidR="00FD29FC" w:rsidRPr="00FD29FC">
        <w:rPr>
          <w:rFonts w:ascii="Arial" w:eastAsia="MS Mincho" w:hAnsi="Arial" w:cs="Arial"/>
          <w:i/>
          <w:spacing w:val="-2"/>
          <w:sz w:val="24"/>
          <w:szCs w:val="20"/>
          <w:lang w:val="es-ES"/>
        </w:rPr>
        <w:t>faecium</w:t>
      </w:r>
      <w:proofErr w:type="spellEnd"/>
      <w:r w:rsidR="00FD29FC" w:rsidRPr="00FD29FC">
        <w:rPr>
          <w:rFonts w:ascii="Arial" w:eastAsia="MS Mincho" w:hAnsi="Arial" w:cs="Arial"/>
          <w:spacing w:val="-2"/>
          <w:sz w:val="24"/>
          <w:szCs w:val="20"/>
          <w:lang w:val="es-ES"/>
        </w:rPr>
        <w:t>,</w:t>
      </w:r>
      <w:r w:rsidR="00FD29FC" w:rsidRPr="00FD29FC">
        <w:rPr>
          <w:rFonts w:ascii="Arial" w:eastAsia="MS Mincho" w:hAnsi="Arial" w:cs="Arial"/>
          <w:i/>
          <w:spacing w:val="-2"/>
          <w:sz w:val="24"/>
          <w:szCs w:val="20"/>
          <w:lang w:val="es-ES"/>
        </w:rPr>
        <w:t xml:space="preserve"> </w:t>
      </w:r>
      <w:proofErr w:type="spellStart"/>
      <w:r w:rsidR="00FD29FC" w:rsidRPr="00FD29FC">
        <w:rPr>
          <w:rFonts w:ascii="Arial" w:eastAsia="MS Mincho" w:hAnsi="Arial" w:cs="Arial"/>
          <w:i/>
          <w:spacing w:val="-2"/>
          <w:sz w:val="24"/>
          <w:szCs w:val="20"/>
          <w:lang w:val="es-ES"/>
        </w:rPr>
        <w:t>Staphylococcus</w:t>
      </w:r>
      <w:proofErr w:type="spellEnd"/>
      <w:r w:rsidR="00FD29FC" w:rsidRPr="00FD29FC">
        <w:rPr>
          <w:rFonts w:ascii="Arial" w:eastAsia="MS Mincho" w:hAnsi="Arial" w:cs="Arial"/>
          <w:i/>
          <w:spacing w:val="-2"/>
          <w:sz w:val="24"/>
          <w:szCs w:val="20"/>
          <w:lang w:val="es-ES"/>
        </w:rPr>
        <w:t xml:space="preserve"> </w:t>
      </w:r>
      <w:proofErr w:type="spellStart"/>
      <w:r w:rsidR="00FD29FC" w:rsidRPr="00FD29FC">
        <w:rPr>
          <w:rFonts w:ascii="Arial" w:eastAsia="MS Mincho" w:hAnsi="Arial" w:cs="Arial"/>
          <w:i/>
          <w:spacing w:val="-2"/>
          <w:sz w:val="24"/>
          <w:szCs w:val="20"/>
          <w:lang w:val="es-ES"/>
        </w:rPr>
        <w:t>aureus</w:t>
      </w:r>
      <w:proofErr w:type="spellEnd"/>
      <w:r w:rsidR="00FD29FC" w:rsidRPr="00FD29FC">
        <w:rPr>
          <w:rFonts w:ascii="Arial" w:eastAsia="MS Mincho" w:hAnsi="Arial" w:cs="Arial"/>
          <w:spacing w:val="-2"/>
          <w:sz w:val="24"/>
          <w:szCs w:val="20"/>
          <w:lang w:val="es-ES"/>
        </w:rPr>
        <w:t>,</w:t>
      </w:r>
      <w:r w:rsidR="00FD29FC" w:rsidRPr="00FD29FC">
        <w:rPr>
          <w:rFonts w:ascii="Arial" w:eastAsia="MS Mincho" w:hAnsi="Arial" w:cs="Arial"/>
          <w:i/>
          <w:spacing w:val="-2"/>
          <w:sz w:val="24"/>
          <w:szCs w:val="20"/>
          <w:lang w:val="es-ES"/>
        </w:rPr>
        <w:t xml:space="preserve"> </w:t>
      </w:r>
      <w:proofErr w:type="spellStart"/>
      <w:r w:rsidR="00FD29FC" w:rsidRPr="00FD29FC">
        <w:rPr>
          <w:rFonts w:ascii="Arial" w:eastAsia="MS Mincho" w:hAnsi="Arial" w:cs="Arial"/>
          <w:i/>
          <w:spacing w:val="-2"/>
          <w:sz w:val="24"/>
          <w:szCs w:val="20"/>
          <w:lang w:val="es-ES"/>
        </w:rPr>
        <w:t>Klebsiella</w:t>
      </w:r>
      <w:proofErr w:type="spellEnd"/>
      <w:r w:rsidR="00FD29FC" w:rsidRPr="00FD29FC">
        <w:rPr>
          <w:rFonts w:ascii="Arial" w:eastAsia="MS Mincho" w:hAnsi="Arial" w:cs="Arial"/>
          <w:i/>
          <w:spacing w:val="-2"/>
          <w:sz w:val="24"/>
          <w:szCs w:val="20"/>
          <w:lang w:val="es-ES"/>
        </w:rPr>
        <w:t xml:space="preserve"> </w:t>
      </w:r>
      <w:proofErr w:type="spellStart"/>
      <w:r w:rsidR="00FD29FC" w:rsidRPr="00FD29FC">
        <w:rPr>
          <w:rFonts w:ascii="Arial" w:eastAsia="MS Mincho" w:hAnsi="Arial" w:cs="Arial"/>
          <w:i/>
          <w:spacing w:val="-2"/>
          <w:sz w:val="24"/>
          <w:szCs w:val="20"/>
          <w:lang w:val="es-ES"/>
        </w:rPr>
        <w:t>pneumoniae</w:t>
      </w:r>
      <w:proofErr w:type="spellEnd"/>
      <w:r w:rsidR="00FD29FC" w:rsidRPr="00FD29FC">
        <w:rPr>
          <w:rFonts w:ascii="Arial" w:eastAsia="MS Mincho" w:hAnsi="Arial" w:cs="Arial"/>
          <w:spacing w:val="-2"/>
          <w:sz w:val="24"/>
          <w:szCs w:val="20"/>
          <w:lang w:val="es-ES"/>
        </w:rPr>
        <w:t>,</w:t>
      </w:r>
      <w:r w:rsidR="00FD29FC" w:rsidRPr="00FD29FC">
        <w:rPr>
          <w:rFonts w:ascii="Arial" w:eastAsia="MS Mincho" w:hAnsi="Arial" w:cs="Arial"/>
          <w:i/>
          <w:spacing w:val="-2"/>
          <w:sz w:val="24"/>
          <w:szCs w:val="20"/>
          <w:lang w:val="es-ES"/>
        </w:rPr>
        <w:t xml:space="preserve"> </w:t>
      </w:r>
      <w:proofErr w:type="spellStart"/>
      <w:r w:rsidR="00FD29FC" w:rsidRPr="00FD29FC">
        <w:rPr>
          <w:rFonts w:ascii="Arial" w:eastAsia="MS Mincho" w:hAnsi="Arial" w:cs="Arial"/>
          <w:i/>
          <w:spacing w:val="-2"/>
          <w:sz w:val="24"/>
          <w:szCs w:val="20"/>
          <w:lang w:val="es-ES"/>
        </w:rPr>
        <w:t>Acinetobacter</w:t>
      </w:r>
      <w:proofErr w:type="spellEnd"/>
      <w:r w:rsidR="00FD29FC" w:rsidRPr="00FD29FC">
        <w:rPr>
          <w:rFonts w:ascii="Arial" w:eastAsia="MS Mincho" w:hAnsi="Arial" w:cs="Arial"/>
          <w:i/>
          <w:spacing w:val="-2"/>
          <w:sz w:val="24"/>
          <w:szCs w:val="20"/>
          <w:lang w:val="es-ES"/>
        </w:rPr>
        <w:t xml:space="preserve"> </w:t>
      </w:r>
      <w:proofErr w:type="spellStart"/>
      <w:r w:rsidR="00FD29FC" w:rsidRPr="00FD29FC">
        <w:rPr>
          <w:rFonts w:ascii="Arial" w:eastAsia="MS Mincho" w:hAnsi="Arial" w:cs="Arial"/>
          <w:i/>
          <w:spacing w:val="-2"/>
          <w:sz w:val="24"/>
          <w:szCs w:val="20"/>
          <w:lang w:val="es-ES"/>
        </w:rPr>
        <w:t>baumannii</w:t>
      </w:r>
      <w:proofErr w:type="spellEnd"/>
      <w:r w:rsidR="00FD29FC" w:rsidRPr="00FD29FC">
        <w:rPr>
          <w:rFonts w:ascii="Arial" w:eastAsia="MS Mincho" w:hAnsi="Arial" w:cs="Arial"/>
          <w:spacing w:val="-2"/>
          <w:sz w:val="24"/>
          <w:szCs w:val="20"/>
          <w:lang w:val="es-ES"/>
        </w:rPr>
        <w:t>,</w:t>
      </w:r>
      <w:r w:rsidR="00FD29FC" w:rsidRPr="00FD29FC">
        <w:rPr>
          <w:rFonts w:ascii="Arial" w:eastAsia="MS Mincho" w:hAnsi="Arial" w:cs="Arial"/>
          <w:i/>
          <w:spacing w:val="-2"/>
          <w:sz w:val="24"/>
          <w:szCs w:val="20"/>
          <w:lang w:val="es-ES"/>
        </w:rPr>
        <w:t xml:space="preserve"> </w:t>
      </w:r>
      <w:proofErr w:type="spellStart"/>
      <w:r w:rsidR="00FD29FC" w:rsidRPr="00FD29FC">
        <w:rPr>
          <w:rFonts w:ascii="Arial" w:eastAsia="MS Mincho" w:hAnsi="Arial" w:cs="Arial"/>
          <w:i/>
          <w:spacing w:val="-2"/>
          <w:sz w:val="24"/>
          <w:szCs w:val="20"/>
          <w:lang w:val="es-ES"/>
        </w:rPr>
        <w:t>Pseudomonas</w:t>
      </w:r>
      <w:proofErr w:type="spellEnd"/>
      <w:r w:rsidR="00FD29FC" w:rsidRPr="00FD29FC">
        <w:rPr>
          <w:rFonts w:ascii="Arial" w:eastAsia="MS Mincho" w:hAnsi="Arial" w:cs="Arial"/>
          <w:i/>
          <w:spacing w:val="-2"/>
          <w:sz w:val="24"/>
          <w:szCs w:val="20"/>
          <w:lang w:val="es-ES"/>
        </w:rPr>
        <w:t xml:space="preserve"> </w:t>
      </w:r>
      <w:proofErr w:type="spellStart"/>
      <w:r w:rsidR="00FD29FC" w:rsidRPr="00FD29FC">
        <w:rPr>
          <w:rFonts w:ascii="Arial" w:eastAsia="MS Mincho" w:hAnsi="Arial" w:cs="Arial"/>
          <w:i/>
          <w:spacing w:val="-2"/>
          <w:sz w:val="24"/>
          <w:szCs w:val="20"/>
          <w:lang w:val="es-ES"/>
        </w:rPr>
        <w:t>aeruginosa</w:t>
      </w:r>
      <w:proofErr w:type="spellEnd"/>
      <w:r w:rsidR="00FD29FC" w:rsidRPr="00FD29FC">
        <w:rPr>
          <w:rFonts w:ascii="Arial" w:eastAsia="MS Mincho" w:hAnsi="Arial" w:cs="Arial"/>
          <w:i/>
          <w:spacing w:val="-2"/>
          <w:sz w:val="24"/>
          <w:szCs w:val="20"/>
          <w:lang w:val="es-ES"/>
        </w:rPr>
        <w:t xml:space="preserve"> </w:t>
      </w:r>
      <w:r w:rsidR="00FD29FC" w:rsidRPr="00FD29FC">
        <w:rPr>
          <w:rFonts w:ascii="Arial" w:eastAsia="MS Mincho" w:hAnsi="Arial" w:cs="Arial"/>
          <w:spacing w:val="-2"/>
          <w:sz w:val="24"/>
          <w:szCs w:val="20"/>
          <w:lang w:val="es-ES"/>
        </w:rPr>
        <w:t>y</w:t>
      </w:r>
      <w:r w:rsidR="00FD29FC" w:rsidRPr="00FD29FC">
        <w:rPr>
          <w:rFonts w:ascii="Arial" w:eastAsia="MS Mincho" w:hAnsi="Arial" w:cs="Arial"/>
          <w:i/>
          <w:spacing w:val="-2"/>
          <w:sz w:val="24"/>
          <w:szCs w:val="20"/>
          <w:lang w:val="es-ES"/>
        </w:rPr>
        <w:t xml:space="preserve"> </w:t>
      </w:r>
      <w:proofErr w:type="spellStart"/>
      <w:r w:rsidR="00FD29FC" w:rsidRPr="00FD29FC">
        <w:rPr>
          <w:rFonts w:ascii="Arial" w:eastAsia="MS Mincho" w:hAnsi="Arial" w:cs="Arial"/>
          <w:i/>
          <w:spacing w:val="-2"/>
          <w:sz w:val="24"/>
          <w:szCs w:val="20"/>
          <w:lang w:val="es-ES"/>
        </w:rPr>
        <w:t>Enterobacter</w:t>
      </w:r>
      <w:proofErr w:type="spellEnd"/>
      <w:r w:rsidR="00FD29FC">
        <w:rPr>
          <w:rFonts w:ascii="Arial" w:eastAsia="MS Mincho" w:hAnsi="Arial" w:cs="Arial"/>
          <w:spacing w:val="-2"/>
          <w:sz w:val="24"/>
          <w:szCs w:val="20"/>
          <w:lang w:val="es-ES"/>
        </w:rPr>
        <w:t>)</w:t>
      </w:r>
      <w:r w:rsidR="00FD29FC" w:rsidRPr="00FD29FC">
        <w:rPr>
          <w:rFonts w:ascii="Arial" w:eastAsia="MS Mincho" w:hAnsi="Arial" w:cs="Arial"/>
          <w:spacing w:val="-2"/>
          <w:sz w:val="24"/>
          <w:szCs w:val="20"/>
          <w:lang w:val="es-ES"/>
        </w:rPr>
        <w:t xml:space="preserve"> </w:t>
      </w:r>
      <w:sdt>
        <w:sdtPr>
          <w:rPr>
            <w:rFonts w:ascii="Arial" w:eastAsia="MS Mincho" w:hAnsi="Arial" w:cs="Arial"/>
            <w:spacing w:val="-2"/>
            <w:sz w:val="24"/>
            <w:szCs w:val="20"/>
            <w:lang w:val="es-ES"/>
          </w:rPr>
          <w:id w:val="-1101182580"/>
          <w:citation/>
        </w:sdtPr>
        <w:sdtEndPr/>
        <w:sdtContent>
          <w:r w:rsidR="00FD29FC" w:rsidRPr="00FD29FC">
            <w:rPr>
              <w:rFonts w:ascii="Arial" w:eastAsia="MS Mincho" w:hAnsi="Arial" w:cs="Arial"/>
              <w:spacing w:val="-2"/>
              <w:sz w:val="24"/>
              <w:szCs w:val="20"/>
              <w:lang w:val="es-ES"/>
            </w:rPr>
            <w:fldChar w:fldCharType="begin"/>
          </w:r>
          <w:r w:rsidR="00FD29FC" w:rsidRPr="00FD29FC">
            <w:rPr>
              <w:rFonts w:ascii="Arial" w:eastAsia="MS Mincho" w:hAnsi="Arial" w:cs="Arial"/>
              <w:spacing w:val="-2"/>
              <w:sz w:val="24"/>
              <w:szCs w:val="20"/>
            </w:rPr>
            <w:instrText xml:space="preserve">CITATION Gil13 \l 2058 </w:instrText>
          </w:r>
          <w:r w:rsidR="00FD29FC" w:rsidRPr="00FD29FC">
            <w:rPr>
              <w:rFonts w:ascii="Arial" w:eastAsia="MS Mincho" w:hAnsi="Arial" w:cs="Arial"/>
              <w:spacing w:val="-2"/>
              <w:sz w:val="24"/>
              <w:szCs w:val="20"/>
              <w:lang w:val="es-ES"/>
            </w:rPr>
            <w:fldChar w:fldCharType="separate"/>
          </w:r>
          <w:r w:rsidR="00FD29FC" w:rsidRPr="00FD29FC">
            <w:rPr>
              <w:rFonts w:ascii="Arial" w:eastAsia="MS Mincho" w:hAnsi="Arial" w:cs="Arial"/>
              <w:noProof/>
              <w:spacing w:val="-2"/>
              <w:sz w:val="24"/>
              <w:szCs w:val="20"/>
            </w:rPr>
            <w:t>(Gillner &amp; Holz, 2013)</w:t>
          </w:r>
          <w:r w:rsidR="00FD29FC" w:rsidRPr="00FD29FC">
            <w:rPr>
              <w:rFonts w:ascii="Arial" w:eastAsia="MS Mincho" w:hAnsi="Arial" w:cs="Arial"/>
              <w:spacing w:val="-2"/>
              <w:sz w:val="24"/>
              <w:szCs w:val="20"/>
              <w:lang w:val="es-ES"/>
            </w:rPr>
            <w:fldChar w:fldCharType="end"/>
          </w:r>
        </w:sdtContent>
      </w:sdt>
      <w:r w:rsidR="00D74F77">
        <w:rPr>
          <w:rFonts w:ascii="Arial" w:eastAsia="MS Mincho" w:hAnsi="Arial" w:cs="Arial"/>
          <w:spacing w:val="-2"/>
          <w:sz w:val="24"/>
          <w:szCs w:val="20"/>
          <w:lang w:val="es-ES"/>
        </w:rPr>
        <w:t xml:space="preserve">, </w:t>
      </w:r>
      <w:r>
        <w:rPr>
          <w:rFonts w:ascii="Arial" w:eastAsia="MS Mincho" w:hAnsi="Arial" w:cs="Arial"/>
          <w:spacing w:val="-2"/>
          <w:sz w:val="24"/>
          <w:szCs w:val="20"/>
          <w:lang w:val="es-ES"/>
        </w:rPr>
        <w:t>la</w:t>
      </w:r>
      <w:r w:rsidR="00D74F77" w:rsidRPr="00D74F77">
        <w:rPr>
          <w:rFonts w:ascii="Arial" w:eastAsia="MS Mincho" w:hAnsi="Arial" w:cs="Arial"/>
          <w:spacing w:val="-2"/>
          <w:sz w:val="24"/>
          <w:szCs w:val="20"/>
          <w:lang w:val="es-ES"/>
        </w:rPr>
        <w:t xml:space="preserve">s cuales han emergido como especies resistentes a múltiples antibióticos </w:t>
      </w:r>
      <w:sdt>
        <w:sdtPr>
          <w:rPr>
            <w:rFonts w:ascii="Arial" w:eastAsia="MS Mincho" w:hAnsi="Arial" w:cs="Arial"/>
            <w:spacing w:val="-2"/>
            <w:sz w:val="24"/>
            <w:szCs w:val="20"/>
            <w:lang w:val="es-ES"/>
          </w:rPr>
          <w:id w:val="-307624975"/>
          <w:citation/>
        </w:sdtPr>
        <w:sdtEndPr/>
        <w:sdtContent>
          <w:r w:rsidR="00D74F77" w:rsidRPr="00D74F77">
            <w:rPr>
              <w:rFonts w:ascii="Arial" w:eastAsia="MS Mincho" w:hAnsi="Arial" w:cs="Arial"/>
              <w:spacing w:val="-2"/>
              <w:sz w:val="24"/>
              <w:szCs w:val="20"/>
              <w:lang w:val="es-ES"/>
            </w:rPr>
            <w:fldChar w:fldCharType="begin"/>
          </w:r>
          <w:r w:rsidR="00D74F77" w:rsidRPr="00D74F77">
            <w:rPr>
              <w:rFonts w:ascii="Arial" w:eastAsia="MS Mincho" w:hAnsi="Arial" w:cs="Arial"/>
              <w:spacing w:val="-2"/>
              <w:sz w:val="24"/>
              <w:szCs w:val="20"/>
            </w:rPr>
            <w:instrText xml:space="preserve"> CITATION Bie03 \l 2058 </w:instrText>
          </w:r>
          <w:r w:rsidR="00D74F77" w:rsidRPr="00D74F77">
            <w:rPr>
              <w:rFonts w:ascii="Arial" w:eastAsia="MS Mincho" w:hAnsi="Arial" w:cs="Arial"/>
              <w:spacing w:val="-2"/>
              <w:sz w:val="24"/>
              <w:szCs w:val="20"/>
              <w:lang w:val="es-ES"/>
            </w:rPr>
            <w:fldChar w:fldCharType="separate"/>
          </w:r>
          <w:r w:rsidR="00D74F77" w:rsidRPr="00D74F77">
            <w:rPr>
              <w:rFonts w:ascii="Arial" w:eastAsia="MS Mincho" w:hAnsi="Arial" w:cs="Arial"/>
              <w:noProof/>
              <w:spacing w:val="-2"/>
              <w:sz w:val="24"/>
              <w:szCs w:val="20"/>
            </w:rPr>
            <w:t>(Bienvenue, 2003)</w:t>
          </w:r>
          <w:r w:rsidR="00D74F77" w:rsidRPr="00D74F77">
            <w:rPr>
              <w:rFonts w:ascii="Arial" w:eastAsia="MS Mincho" w:hAnsi="Arial" w:cs="Arial"/>
              <w:spacing w:val="-2"/>
              <w:sz w:val="24"/>
              <w:szCs w:val="20"/>
              <w:lang w:val="es-ES"/>
            </w:rPr>
            <w:fldChar w:fldCharType="end"/>
          </w:r>
        </w:sdtContent>
      </w:sdt>
      <w:r w:rsidR="00D74F77">
        <w:rPr>
          <w:rFonts w:ascii="Arial" w:eastAsia="MS Mincho" w:hAnsi="Arial" w:cs="Arial"/>
          <w:spacing w:val="-2"/>
          <w:sz w:val="24"/>
          <w:szCs w:val="20"/>
          <w:lang w:val="es-ES"/>
        </w:rPr>
        <w:t xml:space="preserve">. Al ser DapE participe en la principal ruta de </w:t>
      </w:r>
      <w:r w:rsidR="00D74F77" w:rsidRPr="00D74F77">
        <w:rPr>
          <w:rFonts w:ascii="Arial" w:eastAsia="MS Mincho" w:hAnsi="Arial" w:cs="Arial"/>
          <w:spacing w:val="-2"/>
          <w:sz w:val="24"/>
          <w:szCs w:val="20"/>
          <w:lang w:val="es-ES"/>
        </w:rPr>
        <w:t xml:space="preserve">biosíntesis para </w:t>
      </w:r>
      <w:r w:rsidR="00D74F77" w:rsidRPr="00D74F77">
        <w:rPr>
          <w:rFonts w:ascii="Arial" w:eastAsia="MS Mincho" w:hAnsi="Arial" w:cs="Arial"/>
          <w:i/>
          <w:spacing w:val="-2"/>
          <w:sz w:val="24"/>
          <w:szCs w:val="20"/>
          <w:lang w:val="es-ES"/>
        </w:rPr>
        <w:t>m</w:t>
      </w:r>
      <w:r w:rsidR="00D74F77" w:rsidRPr="00D74F77">
        <w:rPr>
          <w:rFonts w:ascii="Arial" w:eastAsia="MS Mincho" w:hAnsi="Arial" w:cs="Arial"/>
          <w:spacing w:val="-2"/>
          <w:sz w:val="24"/>
          <w:szCs w:val="20"/>
          <w:lang w:val="es-ES"/>
        </w:rPr>
        <w:t>-DAP/lisina</w:t>
      </w:r>
      <w:r w:rsidR="00D74F77">
        <w:rPr>
          <w:rFonts w:ascii="Arial" w:eastAsia="MS Mincho" w:hAnsi="Arial" w:cs="Arial"/>
          <w:spacing w:val="-2"/>
          <w:sz w:val="24"/>
          <w:szCs w:val="20"/>
          <w:lang w:val="es-ES"/>
        </w:rPr>
        <w:t xml:space="preserve"> (</w:t>
      </w:r>
      <w:r w:rsidR="00D74F77" w:rsidRPr="00D74F77">
        <w:rPr>
          <w:rFonts w:ascii="Arial" w:eastAsia="MS Mincho" w:hAnsi="Arial" w:cs="Arial"/>
          <w:spacing w:val="-2"/>
          <w:sz w:val="24"/>
          <w:szCs w:val="20"/>
        </w:rPr>
        <w:t xml:space="preserve">componentes esenciales del </w:t>
      </w:r>
      <w:proofErr w:type="spellStart"/>
      <w:r w:rsidR="00D74F77">
        <w:rPr>
          <w:rFonts w:ascii="Arial" w:eastAsia="MS Mincho" w:hAnsi="Arial" w:cs="Arial"/>
          <w:spacing w:val="-2"/>
          <w:sz w:val="24"/>
          <w:szCs w:val="20"/>
        </w:rPr>
        <w:t>peptidoglicano</w:t>
      </w:r>
      <w:proofErr w:type="spellEnd"/>
      <w:r w:rsidR="00D74F77">
        <w:rPr>
          <w:rFonts w:ascii="Arial" w:eastAsia="MS Mincho" w:hAnsi="Arial" w:cs="Arial"/>
          <w:spacing w:val="-2"/>
          <w:sz w:val="24"/>
          <w:szCs w:val="20"/>
        </w:rPr>
        <w:t xml:space="preserve">) </w:t>
      </w:r>
      <w:r w:rsidR="00D74F77">
        <w:rPr>
          <w:rFonts w:ascii="Arial" w:eastAsia="MS Mincho" w:hAnsi="Arial" w:cs="Arial"/>
          <w:spacing w:val="-2"/>
          <w:sz w:val="24"/>
          <w:szCs w:val="20"/>
          <w:lang w:val="es-ES"/>
        </w:rPr>
        <w:t>de bacterias Gram positivas y Gram negativas</w:t>
      </w:r>
      <w:r w:rsidR="00D74F77" w:rsidRPr="00D74F77">
        <w:rPr>
          <w:rFonts w:ascii="Arial" w:eastAsia="MS Mincho" w:hAnsi="Arial" w:cs="Arial"/>
          <w:spacing w:val="-2"/>
          <w:sz w:val="24"/>
          <w:szCs w:val="20"/>
          <w:lang w:val="es-ES"/>
        </w:rPr>
        <w:t xml:space="preserve"> </w:t>
      </w:r>
      <w:sdt>
        <w:sdtPr>
          <w:rPr>
            <w:rFonts w:ascii="Arial" w:eastAsia="MS Mincho" w:hAnsi="Arial" w:cs="Arial"/>
            <w:spacing w:val="-2"/>
            <w:sz w:val="24"/>
            <w:szCs w:val="20"/>
            <w:lang w:val="es-ES"/>
          </w:rPr>
          <w:id w:val="-1853712029"/>
          <w:citation/>
        </w:sdtPr>
        <w:sdtEndPr/>
        <w:sdtContent>
          <w:r w:rsidR="00D74F77" w:rsidRPr="00D74F77">
            <w:rPr>
              <w:rFonts w:ascii="Arial" w:eastAsia="MS Mincho" w:hAnsi="Arial" w:cs="Arial"/>
              <w:spacing w:val="-2"/>
              <w:sz w:val="24"/>
              <w:szCs w:val="20"/>
              <w:lang w:val="es-ES"/>
            </w:rPr>
            <w:fldChar w:fldCharType="begin"/>
          </w:r>
          <w:r w:rsidR="00D74F77" w:rsidRPr="00D74F77">
            <w:rPr>
              <w:rFonts w:ascii="Arial" w:eastAsia="MS Mincho" w:hAnsi="Arial" w:cs="Arial"/>
              <w:spacing w:val="-2"/>
              <w:sz w:val="24"/>
              <w:szCs w:val="20"/>
            </w:rPr>
            <w:instrText xml:space="preserve"> CITATION Sta16 \l 2058 </w:instrText>
          </w:r>
          <w:r w:rsidR="00D74F77" w:rsidRPr="00D74F77">
            <w:rPr>
              <w:rFonts w:ascii="Arial" w:eastAsia="MS Mincho" w:hAnsi="Arial" w:cs="Arial"/>
              <w:spacing w:val="-2"/>
              <w:sz w:val="24"/>
              <w:szCs w:val="20"/>
              <w:lang w:val="es-ES"/>
            </w:rPr>
            <w:fldChar w:fldCharType="separate"/>
          </w:r>
          <w:r w:rsidR="00D74F77" w:rsidRPr="00D74F77">
            <w:rPr>
              <w:rFonts w:ascii="Arial" w:eastAsia="MS Mincho" w:hAnsi="Arial" w:cs="Arial"/>
              <w:noProof/>
              <w:spacing w:val="-2"/>
              <w:sz w:val="24"/>
              <w:szCs w:val="20"/>
            </w:rPr>
            <w:t>(Starus, 2016)</w:t>
          </w:r>
          <w:r w:rsidR="00D74F77" w:rsidRPr="00D74F77">
            <w:rPr>
              <w:rFonts w:ascii="Arial" w:eastAsia="MS Mincho" w:hAnsi="Arial" w:cs="Arial"/>
              <w:spacing w:val="-2"/>
              <w:sz w:val="24"/>
              <w:szCs w:val="20"/>
              <w:lang w:val="es-ES"/>
            </w:rPr>
            <w:fldChar w:fldCharType="end"/>
          </w:r>
        </w:sdtContent>
      </w:sdt>
      <w:r w:rsidR="00D74F77">
        <w:rPr>
          <w:rFonts w:ascii="Arial" w:eastAsia="MS Mincho" w:hAnsi="Arial" w:cs="Arial"/>
          <w:spacing w:val="-2"/>
          <w:sz w:val="24"/>
          <w:szCs w:val="20"/>
          <w:lang w:val="es-ES"/>
        </w:rPr>
        <w:t xml:space="preserve">, puede ser utilizada como </w:t>
      </w:r>
      <w:r w:rsidR="00D74F77">
        <w:rPr>
          <w:rFonts w:ascii="Arial" w:eastAsia="MS Mincho" w:hAnsi="Arial" w:cs="Arial"/>
          <w:spacing w:val="-2"/>
          <w:sz w:val="24"/>
          <w:szCs w:val="20"/>
        </w:rPr>
        <w:t>nuevo</w:t>
      </w:r>
      <w:r w:rsidR="00D74F77" w:rsidRPr="00D74F77">
        <w:rPr>
          <w:rFonts w:ascii="Arial" w:eastAsia="MS Mincho" w:hAnsi="Arial" w:cs="Arial"/>
          <w:spacing w:val="-2"/>
          <w:sz w:val="24"/>
          <w:szCs w:val="20"/>
        </w:rPr>
        <w:t xml:space="preserve"> </w:t>
      </w:r>
      <w:r w:rsidR="00D74F77">
        <w:rPr>
          <w:rFonts w:ascii="Arial" w:eastAsia="MS Mincho" w:hAnsi="Arial" w:cs="Arial"/>
          <w:spacing w:val="-2"/>
          <w:sz w:val="24"/>
          <w:szCs w:val="20"/>
        </w:rPr>
        <w:t>blanco farmacológico</w:t>
      </w:r>
      <w:r>
        <w:rPr>
          <w:rFonts w:ascii="Arial" w:eastAsia="MS Mincho" w:hAnsi="Arial" w:cs="Arial"/>
          <w:spacing w:val="-2"/>
          <w:sz w:val="24"/>
          <w:szCs w:val="20"/>
        </w:rPr>
        <w:t xml:space="preserve"> y control de infecciones bacterianas </w:t>
      </w:r>
      <w:proofErr w:type="spellStart"/>
      <w:r>
        <w:rPr>
          <w:rFonts w:ascii="Arial" w:eastAsia="MS Mincho" w:hAnsi="Arial" w:cs="Arial"/>
          <w:spacing w:val="-2"/>
          <w:sz w:val="24"/>
          <w:szCs w:val="20"/>
        </w:rPr>
        <w:t>multirresistentes</w:t>
      </w:r>
      <w:proofErr w:type="spellEnd"/>
      <w:r>
        <w:rPr>
          <w:rFonts w:ascii="Arial" w:eastAsia="MS Mincho" w:hAnsi="Arial" w:cs="Arial"/>
          <w:spacing w:val="-2"/>
          <w:sz w:val="24"/>
          <w:szCs w:val="20"/>
        </w:rPr>
        <w:t>.</w:t>
      </w:r>
    </w:p>
    <w:p w:rsidR="00382FE3" w:rsidRPr="00756BE4" w:rsidRDefault="009F52B0" w:rsidP="00DF7B99">
      <w:pPr>
        <w:pStyle w:val="Textoindependiente"/>
        <w:spacing w:after="120"/>
        <w:rPr>
          <w:rFonts w:ascii="Arial" w:hAnsi="Arial"/>
          <w:szCs w:val="24"/>
        </w:rPr>
      </w:pPr>
      <w:r>
        <w:rPr>
          <w:rFonts w:ascii="Arial" w:hAnsi="Arial" w:cs="Arial"/>
          <w:szCs w:val="24"/>
          <w:lang w:val="es-MX"/>
        </w:rPr>
        <w:t>La identificación de</w:t>
      </w:r>
      <w:r w:rsidR="00DF7B99" w:rsidRPr="00DF7B99">
        <w:rPr>
          <w:rFonts w:ascii="Arial" w:hAnsi="Arial" w:cs="Arial"/>
          <w:szCs w:val="24"/>
          <w:lang w:val="es-MX"/>
        </w:rPr>
        <w:t xml:space="preserve"> </w:t>
      </w:r>
      <w:r>
        <w:rPr>
          <w:rFonts w:ascii="Arial" w:hAnsi="Arial" w:cs="Arial"/>
          <w:szCs w:val="24"/>
          <w:lang w:val="es-MX"/>
        </w:rPr>
        <w:t xml:space="preserve">500 </w:t>
      </w:r>
      <w:r w:rsidR="00DF7B99" w:rsidRPr="00DF7B99">
        <w:rPr>
          <w:rFonts w:ascii="Arial" w:hAnsi="Arial" w:cs="Arial"/>
          <w:szCs w:val="24"/>
          <w:lang w:val="es-MX"/>
        </w:rPr>
        <w:t>fármacos con p</w:t>
      </w:r>
      <w:r>
        <w:rPr>
          <w:rFonts w:ascii="Arial" w:hAnsi="Arial" w:cs="Arial"/>
          <w:szCs w:val="24"/>
          <w:lang w:val="es-MX"/>
        </w:rPr>
        <w:t xml:space="preserve">otencial inhibitorio de la DapE se realizó a través del servidor Dock </w:t>
      </w:r>
      <w:proofErr w:type="spellStart"/>
      <w:r>
        <w:rPr>
          <w:rFonts w:ascii="Arial" w:hAnsi="Arial" w:cs="Arial"/>
          <w:szCs w:val="24"/>
          <w:lang w:val="es-MX"/>
        </w:rPr>
        <w:t>Blaster</w:t>
      </w:r>
      <w:proofErr w:type="spellEnd"/>
      <w:r>
        <w:rPr>
          <w:rFonts w:ascii="Arial" w:hAnsi="Arial" w:cs="Arial"/>
          <w:szCs w:val="24"/>
          <w:lang w:val="es-MX"/>
        </w:rPr>
        <w:t xml:space="preserve"> </w:t>
      </w:r>
      <w:r>
        <w:rPr>
          <w:rFonts w:ascii="Arial" w:hAnsi="Arial"/>
          <w:szCs w:val="24"/>
        </w:rPr>
        <w:t>(</w:t>
      </w:r>
      <w:hyperlink r:id="rId8" w:history="1">
        <w:r w:rsidRPr="00191C6F">
          <w:rPr>
            <w:rStyle w:val="Hipervnculo"/>
            <w:rFonts w:ascii="Arial" w:hAnsi="Arial"/>
            <w:szCs w:val="24"/>
          </w:rPr>
          <w:t>http://blaster.docking.org/parser.shtml</w:t>
        </w:r>
      </w:hyperlink>
      <w:r>
        <w:rPr>
          <w:rFonts w:ascii="Arial" w:hAnsi="Arial"/>
          <w:szCs w:val="24"/>
        </w:rPr>
        <w:t>) que se encuentra enlazado a</w:t>
      </w:r>
      <w:r>
        <w:rPr>
          <w:rFonts w:ascii="Arial" w:hAnsi="Arial" w:cs="Arial"/>
          <w:szCs w:val="24"/>
          <w:lang w:val="es-MX"/>
        </w:rPr>
        <w:t xml:space="preserve"> la base de datos ZINC</w:t>
      </w:r>
      <w:r w:rsidR="00E3393B">
        <w:rPr>
          <w:rFonts w:ascii="Arial" w:hAnsi="Arial" w:cs="Arial"/>
          <w:szCs w:val="24"/>
          <w:lang w:val="es-MX"/>
        </w:rPr>
        <w:t>, la cual</w:t>
      </w:r>
      <w:r>
        <w:rPr>
          <w:rFonts w:ascii="Arial" w:hAnsi="Arial" w:cs="Arial"/>
          <w:szCs w:val="24"/>
          <w:lang w:val="es-MX"/>
        </w:rPr>
        <w:t xml:space="preserve"> contiene fármacos </w:t>
      </w:r>
      <w:r w:rsidR="00E3393B">
        <w:rPr>
          <w:rFonts w:ascii="Arial" w:hAnsi="Arial" w:cs="Arial"/>
          <w:szCs w:val="24"/>
          <w:lang w:val="es-MX"/>
        </w:rPr>
        <w:t xml:space="preserve">disponibles comercialmente y aprobados por la FDA. Posteriormente fueron seleccionados los mejores 9 fármacos a través de criterios de exclusión como 1) no presentar efectos secundarios graves y 2) presentar un </w:t>
      </w:r>
      <w:r w:rsidR="00E3393B">
        <w:rPr>
          <w:rFonts w:ascii="Arial" w:hAnsi="Arial"/>
          <w:szCs w:val="24"/>
        </w:rPr>
        <w:t>-</w:t>
      </w:r>
      <w:r w:rsidR="00E3393B" w:rsidRPr="003A7972">
        <w:rPr>
          <w:rFonts w:ascii="Arial" w:hAnsi="Arial" w:cs="Arial"/>
          <w:i/>
          <w:szCs w:val="24"/>
        </w:rPr>
        <w:t>∆</w:t>
      </w:r>
      <w:r w:rsidR="00E3393B" w:rsidRPr="003A7972">
        <w:rPr>
          <w:rFonts w:ascii="Arial" w:hAnsi="Arial"/>
          <w:i/>
          <w:szCs w:val="24"/>
        </w:rPr>
        <w:t>G</w:t>
      </w:r>
      <w:r w:rsidR="00970B86">
        <w:rPr>
          <w:rFonts w:ascii="Arial" w:hAnsi="Arial"/>
          <w:szCs w:val="24"/>
        </w:rPr>
        <w:t xml:space="preserve"> alto, estos fármacos se clasificaron en </w:t>
      </w:r>
      <w:proofErr w:type="spellStart"/>
      <w:r w:rsidR="00970B86" w:rsidRPr="00970B86">
        <w:rPr>
          <w:rFonts w:ascii="Arial" w:hAnsi="Arial"/>
          <w:szCs w:val="24"/>
        </w:rPr>
        <w:t>en</w:t>
      </w:r>
      <w:proofErr w:type="spellEnd"/>
      <w:r w:rsidR="00970B86" w:rsidRPr="00970B86">
        <w:rPr>
          <w:rFonts w:ascii="Arial" w:hAnsi="Arial"/>
          <w:szCs w:val="24"/>
        </w:rPr>
        <w:t xml:space="preserve"> cinco familias: </w:t>
      </w:r>
      <w:r w:rsidR="00970B86">
        <w:rPr>
          <w:rFonts w:ascii="Arial" w:hAnsi="Arial"/>
          <w:szCs w:val="24"/>
        </w:rPr>
        <w:t>flavonoides</w:t>
      </w:r>
      <w:r w:rsidR="00970B86" w:rsidRPr="00970B86">
        <w:rPr>
          <w:rFonts w:ascii="Arial" w:hAnsi="Arial"/>
          <w:szCs w:val="24"/>
        </w:rPr>
        <w:t xml:space="preserve"> (</w:t>
      </w:r>
      <w:proofErr w:type="spellStart"/>
      <w:r w:rsidR="00970B86" w:rsidRPr="00970B86">
        <w:rPr>
          <w:rFonts w:ascii="Arial" w:hAnsi="Arial"/>
          <w:szCs w:val="24"/>
        </w:rPr>
        <w:t>catequina</w:t>
      </w:r>
      <w:proofErr w:type="spellEnd"/>
      <w:r w:rsidR="00970B86" w:rsidRPr="00970B86">
        <w:rPr>
          <w:rFonts w:ascii="Arial" w:hAnsi="Arial"/>
          <w:szCs w:val="24"/>
        </w:rPr>
        <w:t xml:space="preserve"> y rutina), glucósidos flavonoides (rutina y </w:t>
      </w:r>
      <w:proofErr w:type="spellStart"/>
      <w:r w:rsidR="00970B86" w:rsidRPr="00970B86">
        <w:rPr>
          <w:rFonts w:ascii="Arial" w:hAnsi="Arial"/>
          <w:szCs w:val="24"/>
        </w:rPr>
        <w:t>hesperidina</w:t>
      </w:r>
      <w:proofErr w:type="spellEnd"/>
      <w:r w:rsidR="00970B86" w:rsidRPr="00970B86">
        <w:rPr>
          <w:rFonts w:ascii="Arial" w:hAnsi="Arial"/>
          <w:szCs w:val="24"/>
        </w:rPr>
        <w:t xml:space="preserve">), </w:t>
      </w:r>
      <w:r w:rsidR="00970B86">
        <w:rPr>
          <w:rFonts w:ascii="Arial" w:hAnsi="Arial"/>
          <w:szCs w:val="24"/>
        </w:rPr>
        <w:t>anti-inflamatorio (</w:t>
      </w:r>
      <w:proofErr w:type="spellStart"/>
      <w:r w:rsidR="00970B86">
        <w:rPr>
          <w:rFonts w:ascii="Arial" w:hAnsi="Arial"/>
          <w:szCs w:val="24"/>
        </w:rPr>
        <w:t>orfenadrina</w:t>
      </w:r>
      <w:proofErr w:type="spellEnd"/>
      <w:r w:rsidR="00970B86">
        <w:rPr>
          <w:rFonts w:ascii="Arial" w:hAnsi="Arial"/>
          <w:szCs w:val="24"/>
        </w:rPr>
        <w:t xml:space="preserve">), </w:t>
      </w:r>
      <w:r w:rsidR="00970B86" w:rsidRPr="00970B86">
        <w:rPr>
          <w:rFonts w:ascii="Arial" w:hAnsi="Arial"/>
          <w:szCs w:val="24"/>
        </w:rPr>
        <w:t>anti-alcoholismo (</w:t>
      </w:r>
      <w:proofErr w:type="spellStart"/>
      <w:r w:rsidR="00970B86" w:rsidRPr="00970B86">
        <w:rPr>
          <w:rFonts w:ascii="Arial" w:hAnsi="Arial"/>
          <w:szCs w:val="24"/>
        </w:rPr>
        <w:t>disulfiram</w:t>
      </w:r>
      <w:proofErr w:type="spellEnd"/>
      <w:r w:rsidR="00970B86" w:rsidRPr="00970B86">
        <w:rPr>
          <w:rFonts w:ascii="Arial" w:hAnsi="Arial"/>
          <w:szCs w:val="24"/>
        </w:rPr>
        <w:t>) y taninos (ácidos cafeíco, cumárico y gálico) que mostraron una similitud geométrica y eléctrica con inhibidores previamente identificados</w:t>
      </w:r>
      <w:r w:rsidR="00756BE4">
        <w:rPr>
          <w:rFonts w:ascii="Arial" w:hAnsi="Arial"/>
          <w:szCs w:val="24"/>
        </w:rPr>
        <w:t xml:space="preserve">. </w:t>
      </w:r>
      <w:r w:rsidR="00382FE3">
        <w:rPr>
          <w:rFonts w:ascii="Arial" w:hAnsi="Arial" w:cs="Arial"/>
          <w:szCs w:val="24"/>
          <w:lang w:val="es-MX"/>
        </w:rPr>
        <w:t xml:space="preserve">Los cuales posteriormente a través del acoplamiento molecular </w:t>
      </w:r>
      <w:r w:rsidR="00756BE4">
        <w:rPr>
          <w:rFonts w:ascii="Arial" w:hAnsi="Arial" w:cs="Arial"/>
          <w:szCs w:val="24"/>
          <w:lang w:val="es-MX"/>
        </w:rPr>
        <w:t xml:space="preserve">(interacciones dadas entre el fármaco y el sitio activo de DapE) </w:t>
      </w:r>
      <w:r w:rsidR="00382FE3">
        <w:rPr>
          <w:rFonts w:ascii="Arial" w:hAnsi="Arial" w:cs="Arial"/>
          <w:szCs w:val="24"/>
          <w:lang w:val="es-MX"/>
        </w:rPr>
        <w:t xml:space="preserve">mostraron la Energía de unión (kcal/mol) de la siguiente manera: </w:t>
      </w:r>
      <w:r w:rsidR="00382FE3" w:rsidRPr="00382FE3">
        <w:rPr>
          <w:rFonts w:ascii="Arial" w:hAnsi="Arial" w:cs="Arial"/>
          <w:szCs w:val="24"/>
          <w:lang w:val="es-MX"/>
        </w:rPr>
        <w:t xml:space="preserve">A) </w:t>
      </w:r>
      <w:r w:rsidR="00382FE3" w:rsidRPr="00382FE3">
        <w:rPr>
          <w:rFonts w:ascii="Arial" w:hAnsi="Arial" w:cs="Arial"/>
          <w:i/>
          <w:szCs w:val="24"/>
          <w:lang w:val="es-MX"/>
        </w:rPr>
        <w:t>∆G</w:t>
      </w:r>
      <w:r w:rsidR="00382FE3" w:rsidRPr="00382FE3">
        <w:rPr>
          <w:rFonts w:ascii="Arial" w:hAnsi="Arial" w:cs="Arial"/>
          <w:szCs w:val="24"/>
          <w:lang w:val="es-MX"/>
        </w:rPr>
        <w:t xml:space="preserve"> = - 6.0 </w:t>
      </w:r>
      <w:proofErr w:type="spellStart"/>
      <w:r w:rsidR="00382FE3" w:rsidRPr="00382FE3">
        <w:rPr>
          <w:rFonts w:ascii="Arial" w:hAnsi="Arial" w:cs="Arial"/>
          <w:szCs w:val="24"/>
          <w:lang w:val="es-MX"/>
        </w:rPr>
        <w:t>orfenadrina</w:t>
      </w:r>
      <w:proofErr w:type="spellEnd"/>
      <w:r w:rsidR="00382FE3" w:rsidRPr="00382FE3">
        <w:rPr>
          <w:rFonts w:ascii="Arial" w:hAnsi="Arial" w:cs="Arial"/>
          <w:szCs w:val="24"/>
          <w:lang w:val="es-MX"/>
        </w:rPr>
        <w:t xml:space="preserve">, B) </w:t>
      </w:r>
      <w:r w:rsidR="00382FE3" w:rsidRPr="00382FE3">
        <w:rPr>
          <w:rFonts w:ascii="Arial" w:hAnsi="Arial" w:cs="Arial"/>
          <w:i/>
          <w:szCs w:val="24"/>
          <w:lang w:val="es-MX"/>
        </w:rPr>
        <w:t>∆G</w:t>
      </w:r>
      <w:r w:rsidR="00382FE3" w:rsidRPr="00382FE3">
        <w:rPr>
          <w:rFonts w:ascii="Arial" w:hAnsi="Arial" w:cs="Arial"/>
          <w:szCs w:val="24"/>
          <w:lang w:val="es-MX"/>
        </w:rPr>
        <w:t xml:space="preserve"> = -7.5 </w:t>
      </w:r>
      <w:proofErr w:type="spellStart"/>
      <w:r w:rsidR="00382FE3" w:rsidRPr="00382FE3">
        <w:rPr>
          <w:rFonts w:ascii="Arial" w:hAnsi="Arial" w:cs="Arial"/>
          <w:szCs w:val="24"/>
          <w:lang w:val="es-MX"/>
        </w:rPr>
        <w:t>catequina</w:t>
      </w:r>
      <w:proofErr w:type="spellEnd"/>
      <w:r w:rsidR="00382FE3" w:rsidRPr="00382FE3">
        <w:rPr>
          <w:rFonts w:ascii="Arial" w:hAnsi="Arial" w:cs="Arial"/>
          <w:szCs w:val="24"/>
          <w:lang w:val="es-MX"/>
        </w:rPr>
        <w:t xml:space="preserve">, C) </w:t>
      </w:r>
      <w:r w:rsidR="00382FE3" w:rsidRPr="00382FE3">
        <w:rPr>
          <w:rFonts w:ascii="Arial" w:hAnsi="Arial" w:cs="Arial"/>
          <w:i/>
          <w:szCs w:val="24"/>
          <w:lang w:val="es-MX"/>
        </w:rPr>
        <w:t>∆G</w:t>
      </w:r>
      <w:r w:rsidR="00382FE3" w:rsidRPr="00382FE3">
        <w:rPr>
          <w:rFonts w:ascii="Arial" w:hAnsi="Arial" w:cs="Arial"/>
          <w:szCs w:val="24"/>
          <w:lang w:val="es-MX"/>
        </w:rPr>
        <w:t xml:space="preserve"> = -7.6 </w:t>
      </w:r>
      <w:proofErr w:type="spellStart"/>
      <w:r w:rsidR="00382FE3" w:rsidRPr="00382FE3">
        <w:rPr>
          <w:rFonts w:ascii="Arial" w:hAnsi="Arial" w:cs="Arial"/>
          <w:szCs w:val="24"/>
          <w:lang w:val="es-MX"/>
        </w:rPr>
        <w:t>quercetina</w:t>
      </w:r>
      <w:proofErr w:type="spellEnd"/>
      <w:r w:rsidR="00382FE3" w:rsidRPr="00382FE3">
        <w:rPr>
          <w:rFonts w:ascii="Arial" w:hAnsi="Arial" w:cs="Arial"/>
          <w:szCs w:val="24"/>
          <w:lang w:val="es-MX"/>
        </w:rPr>
        <w:t xml:space="preserve">, D) </w:t>
      </w:r>
      <w:r w:rsidR="00382FE3" w:rsidRPr="00382FE3">
        <w:rPr>
          <w:rFonts w:ascii="Arial" w:hAnsi="Arial" w:cs="Arial"/>
          <w:i/>
          <w:szCs w:val="24"/>
          <w:lang w:val="es-MX"/>
        </w:rPr>
        <w:t>∆G</w:t>
      </w:r>
      <w:r w:rsidR="00382FE3" w:rsidRPr="00382FE3">
        <w:rPr>
          <w:rFonts w:ascii="Arial" w:hAnsi="Arial" w:cs="Arial"/>
          <w:szCs w:val="24"/>
          <w:lang w:val="es-MX"/>
        </w:rPr>
        <w:t xml:space="preserve"> = -7.9 rutina, E) </w:t>
      </w:r>
      <w:r w:rsidR="00382FE3" w:rsidRPr="00382FE3">
        <w:rPr>
          <w:rFonts w:ascii="Arial" w:hAnsi="Arial" w:cs="Arial"/>
          <w:i/>
          <w:szCs w:val="24"/>
          <w:lang w:val="es-MX"/>
        </w:rPr>
        <w:t>∆G</w:t>
      </w:r>
      <w:r w:rsidR="00382FE3" w:rsidRPr="00382FE3">
        <w:rPr>
          <w:rFonts w:ascii="Arial" w:hAnsi="Arial" w:cs="Arial"/>
          <w:szCs w:val="24"/>
          <w:lang w:val="es-MX"/>
        </w:rPr>
        <w:t xml:space="preserve"> = -8.7 </w:t>
      </w:r>
      <w:proofErr w:type="spellStart"/>
      <w:r w:rsidR="00382FE3" w:rsidRPr="00382FE3">
        <w:rPr>
          <w:rFonts w:ascii="Arial" w:hAnsi="Arial" w:cs="Arial"/>
          <w:szCs w:val="24"/>
          <w:lang w:val="es-MX"/>
        </w:rPr>
        <w:t>hesperidina</w:t>
      </w:r>
      <w:proofErr w:type="spellEnd"/>
      <w:r w:rsidR="00382FE3" w:rsidRPr="00382FE3">
        <w:rPr>
          <w:rFonts w:ascii="Arial" w:hAnsi="Arial" w:cs="Arial"/>
          <w:szCs w:val="24"/>
          <w:lang w:val="es-MX"/>
        </w:rPr>
        <w:t xml:space="preserve">, F) </w:t>
      </w:r>
      <w:r w:rsidR="00382FE3" w:rsidRPr="00382FE3">
        <w:rPr>
          <w:rFonts w:ascii="Arial" w:hAnsi="Arial" w:cs="Arial"/>
          <w:i/>
          <w:szCs w:val="24"/>
          <w:lang w:val="es-MX"/>
        </w:rPr>
        <w:t>∆G</w:t>
      </w:r>
      <w:r w:rsidR="00382FE3" w:rsidRPr="00382FE3">
        <w:rPr>
          <w:rFonts w:ascii="Arial" w:hAnsi="Arial" w:cs="Arial"/>
          <w:szCs w:val="24"/>
          <w:lang w:val="es-MX"/>
        </w:rPr>
        <w:t xml:space="preserve"> = -4.2 </w:t>
      </w:r>
      <w:proofErr w:type="spellStart"/>
      <w:r w:rsidR="00382FE3" w:rsidRPr="00382FE3">
        <w:rPr>
          <w:rFonts w:ascii="Arial" w:hAnsi="Arial" w:cs="Arial"/>
          <w:szCs w:val="24"/>
          <w:lang w:val="es-MX"/>
        </w:rPr>
        <w:t>disulfiram</w:t>
      </w:r>
      <w:proofErr w:type="spellEnd"/>
      <w:r w:rsidR="00382FE3" w:rsidRPr="00382FE3">
        <w:rPr>
          <w:rFonts w:ascii="Arial" w:hAnsi="Arial" w:cs="Arial"/>
          <w:szCs w:val="24"/>
          <w:lang w:val="es-MX"/>
        </w:rPr>
        <w:t xml:space="preserve">, G) </w:t>
      </w:r>
      <w:r w:rsidR="00382FE3" w:rsidRPr="00382FE3">
        <w:rPr>
          <w:rFonts w:ascii="Arial" w:hAnsi="Arial" w:cs="Arial"/>
          <w:i/>
          <w:szCs w:val="24"/>
          <w:lang w:val="es-MX"/>
        </w:rPr>
        <w:t>∆G</w:t>
      </w:r>
      <w:r w:rsidR="00382FE3" w:rsidRPr="00382FE3">
        <w:rPr>
          <w:rFonts w:ascii="Arial" w:hAnsi="Arial" w:cs="Arial"/>
          <w:szCs w:val="24"/>
          <w:lang w:val="es-MX"/>
        </w:rPr>
        <w:t xml:space="preserve"> = -6.0 ácido cafeíco, H) </w:t>
      </w:r>
      <w:r w:rsidR="00382FE3" w:rsidRPr="00382FE3">
        <w:rPr>
          <w:rFonts w:ascii="Arial" w:hAnsi="Arial" w:cs="Arial"/>
          <w:i/>
          <w:szCs w:val="24"/>
          <w:lang w:val="es-MX"/>
        </w:rPr>
        <w:t>∆G</w:t>
      </w:r>
      <w:r w:rsidR="00382FE3" w:rsidRPr="00382FE3">
        <w:rPr>
          <w:rFonts w:ascii="Arial" w:hAnsi="Arial" w:cs="Arial"/>
          <w:szCs w:val="24"/>
          <w:lang w:val="es-MX"/>
        </w:rPr>
        <w:t xml:space="preserve"> = -5.3 ácido cumárico y I) </w:t>
      </w:r>
      <w:r w:rsidR="00382FE3" w:rsidRPr="00382FE3">
        <w:rPr>
          <w:rFonts w:ascii="Arial" w:hAnsi="Arial" w:cs="Arial"/>
          <w:i/>
          <w:szCs w:val="24"/>
          <w:lang w:val="es-MX"/>
        </w:rPr>
        <w:t>∆G</w:t>
      </w:r>
      <w:r w:rsidR="00382FE3" w:rsidRPr="00382FE3">
        <w:rPr>
          <w:rFonts w:ascii="Arial" w:hAnsi="Arial" w:cs="Arial"/>
          <w:szCs w:val="24"/>
          <w:lang w:val="es-MX"/>
        </w:rPr>
        <w:t xml:space="preserve"> = -5.3 ácido gálico y J) </w:t>
      </w:r>
      <w:r w:rsidR="00382FE3" w:rsidRPr="00382FE3">
        <w:rPr>
          <w:rFonts w:ascii="Arial" w:hAnsi="Arial" w:cs="Arial"/>
          <w:i/>
          <w:szCs w:val="24"/>
          <w:lang w:val="es-MX"/>
        </w:rPr>
        <w:t>∆G</w:t>
      </w:r>
      <w:r w:rsidR="00032E1F">
        <w:rPr>
          <w:rFonts w:ascii="Arial" w:hAnsi="Arial" w:cs="Arial"/>
          <w:szCs w:val="24"/>
          <w:lang w:val="es-MX"/>
        </w:rPr>
        <w:t xml:space="preserve"> = -4.0 </w:t>
      </w:r>
      <w:proofErr w:type="spellStart"/>
      <w:r w:rsidR="00032E1F">
        <w:rPr>
          <w:rFonts w:ascii="Arial" w:hAnsi="Arial" w:cs="Arial"/>
          <w:szCs w:val="24"/>
          <w:lang w:val="es-MX"/>
        </w:rPr>
        <w:t>captopril</w:t>
      </w:r>
      <w:proofErr w:type="spellEnd"/>
      <w:r w:rsidR="00032E1F">
        <w:rPr>
          <w:rFonts w:ascii="Arial" w:hAnsi="Arial" w:cs="Arial"/>
          <w:szCs w:val="24"/>
          <w:lang w:val="es-MX"/>
        </w:rPr>
        <w:t xml:space="preserve">, siendo las familias de los flavonoides libres y </w:t>
      </w:r>
      <w:proofErr w:type="spellStart"/>
      <w:r w:rsidR="00032E1F">
        <w:rPr>
          <w:rFonts w:ascii="Arial" w:hAnsi="Arial" w:cs="Arial"/>
          <w:szCs w:val="24"/>
          <w:lang w:val="es-MX"/>
        </w:rPr>
        <w:t>glucósilados</w:t>
      </w:r>
      <w:proofErr w:type="spellEnd"/>
      <w:r w:rsidR="00382FE3">
        <w:rPr>
          <w:rFonts w:ascii="Arial" w:hAnsi="Arial" w:cs="Arial"/>
          <w:szCs w:val="24"/>
          <w:lang w:val="es-MX"/>
        </w:rPr>
        <w:t xml:space="preserve"> </w:t>
      </w:r>
      <w:r w:rsidR="00032E1F">
        <w:rPr>
          <w:rFonts w:ascii="Arial" w:hAnsi="Arial" w:cs="Arial"/>
          <w:szCs w:val="24"/>
          <w:lang w:val="es-MX"/>
        </w:rPr>
        <w:t xml:space="preserve">las </w:t>
      </w:r>
      <w:r w:rsidR="00382FE3">
        <w:rPr>
          <w:rFonts w:ascii="Arial" w:hAnsi="Arial" w:cs="Arial"/>
          <w:szCs w:val="24"/>
          <w:lang w:val="es-MX"/>
        </w:rPr>
        <w:t>que se une</w:t>
      </w:r>
      <w:r w:rsidR="00032E1F">
        <w:rPr>
          <w:rFonts w:ascii="Arial" w:hAnsi="Arial" w:cs="Arial"/>
          <w:szCs w:val="24"/>
          <w:lang w:val="es-MX"/>
        </w:rPr>
        <w:t>n de</w:t>
      </w:r>
      <w:r w:rsidR="00382FE3">
        <w:rPr>
          <w:rFonts w:ascii="Arial" w:hAnsi="Arial" w:cs="Arial"/>
          <w:szCs w:val="24"/>
          <w:lang w:val="es-MX"/>
        </w:rPr>
        <w:t xml:space="preserve"> mejor mane</w:t>
      </w:r>
      <w:r w:rsidR="00032E1F">
        <w:rPr>
          <w:rFonts w:ascii="Arial" w:hAnsi="Arial" w:cs="Arial"/>
          <w:szCs w:val="24"/>
          <w:lang w:val="es-MX"/>
        </w:rPr>
        <w:t>ra (Figura 2).</w:t>
      </w:r>
    </w:p>
    <w:p w:rsidR="00382FE3" w:rsidRPr="00032E1F" w:rsidRDefault="00032E1F" w:rsidP="00B24ED0">
      <w:pPr>
        <w:pStyle w:val="Textoindependiente"/>
        <w:spacing w:after="120"/>
        <w:jc w:val="center"/>
        <w:rPr>
          <w:rFonts w:ascii="Arial" w:hAnsi="Arial" w:cs="Arial"/>
          <w:szCs w:val="24"/>
          <w:lang w:val="es-MX"/>
        </w:rPr>
      </w:pPr>
      <w:r>
        <w:rPr>
          <w:noProof/>
          <w:lang w:val="es-MX" w:eastAsia="es-MX"/>
        </w:rPr>
        <w:lastRenderedPageBreak/>
        <w:drawing>
          <wp:inline distT="0" distB="0" distL="0" distR="0" wp14:anchorId="536F4508" wp14:editId="0A3053F2">
            <wp:extent cx="4880344" cy="2228495"/>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525" t="13357" r="5472" b="1126"/>
                    <a:stretch/>
                  </pic:blipFill>
                  <pic:spPr bwMode="auto">
                    <a:xfrm>
                      <a:off x="0" y="0"/>
                      <a:ext cx="4899316" cy="2237158"/>
                    </a:xfrm>
                    <a:prstGeom prst="rect">
                      <a:avLst/>
                    </a:prstGeom>
                    <a:ln>
                      <a:noFill/>
                    </a:ln>
                    <a:extLst>
                      <a:ext uri="{53640926-AAD7-44D8-BBD7-CCE9431645EC}">
                        <a14:shadowObscured xmlns:a14="http://schemas.microsoft.com/office/drawing/2010/main"/>
                      </a:ext>
                    </a:extLst>
                  </pic:spPr>
                </pic:pic>
              </a:graphicData>
            </a:graphic>
          </wp:inline>
        </w:drawing>
      </w:r>
    </w:p>
    <w:p w:rsidR="00382FE3" w:rsidRPr="00032E1F" w:rsidRDefault="00382FE3" w:rsidP="00032E1F">
      <w:pPr>
        <w:pStyle w:val="Descripcin"/>
        <w:spacing w:line="360" w:lineRule="auto"/>
        <w:ind w:left="0" w:right="0"/>
        <w:rPr>
          <w:rFonts w:ascii="Arial" w:hAnsi="Arial" w:cs="Arial"/>
          <w:b/>
          <w:sz w:val="20"/>
        </w:rPr>
      </w:pPr>
      <w:bookmarkStart w:id="0" w:name="_Toc15169873"/>
      <w:r w:rsidRPr="007C3D54">
        <w:rPr>
          <w:rFonts w:ascii="Arial" w:hAnsi="Arial" w:cs="Arial"/>
          <w:b/>
          <w:sz w:val="20"/>
        </w:rPr>
        <w:t>Figura</w:t>
      </w:r>
      <w:r w:rsidR="00756BE4">
        <w:rPr>
          <w:rFonts w:ascii="Arial" w:hAnsi="Arial" w:cs="Arial"/>
          <w:b/>
          <w:sz w:val="20"/>
        </w:rPr>
        <w:t xml:space="preserve"> 1</w:t>
      </w:r>
      <w:r w:rsidRPr="007C3D54">
        <w:rPr>
          <w:rFonts w:ascii="Arial" w:hAnsi="Arial" w:cs="Arial"/>
          <w:sz w:val="20"/>
        </w:rPr>
        <w:t>. Acoplamiento molecular de inhibidores análogos al sustrato y ∆G</w:t>
      </w:r>
      <w:bookmarkEnd w:id="0"/>
      <w:r w:rsidR="00032E1F">
        <w:rPr>
          <w:rFonts w:ascii="Arial" w:hAnsi="Arial" w:cs="Arial"/>
          <w:sz w:val="20"/>
        </w:rPr>
        <w:t>.</w:t>
      </w:r>
    </w:p>
    <w:p w:rsidR="00DF7B99" w:rsidRDefault="00AD3ACA" w:rsidP="00DF7B99">
      <w:pPr>
        <w:pStyle w:val="Textoindependiente"/>
        <w:spacing w:after="120"/>
        <w:rPr>
          <w:rFonts w:ascii="Arial" w:hAnsi="Arial" w:cs="Arial"/>
          <w:szCs w:val="24"/>
          <w:lang w:val="es-MX"/>
        </w:rPr>
      </w:pPr>
      <w:r>
        <w:rPr>
          <w:rFonts w:ascii="Arial" w:hAnsi="Arial" w:cs="Arial"/>
          <w:szCs w:val="24"/>
          <w:lang w:val="es-MX"/>
        </w:rPr>
        <w:t>A la par se obtuvieron</w:t>
      </w:r>
      <w:r w:rsidR="00DF7B99" w:rsidRPr="00DF7B99">
        <w:rPr>
          <w:rFonts w:ascii="Arial" w:hAnsi="Arial" w:cs="Arial"/>
          <w:szCs w:val="24"/>
          <w:lang w:val="es-MX"/>
        </w:rPr>
        <w:t xml:space="preserve"> las enzimas DapE recomb</w:t>
      </w:r>
      <w:r>
        <w:rPr>
          <w:rFonts w:ascii="Arial" w:hAnsi="Arial" w:cs="Arial"/>
          <w:szCs w:val="24"/>
          <w:lang w:val="es-MX"/>
        </w:rPr>
        <w:t xml:space="preserve">inantes, solubles y funcionales mediante </w:t>
      </w:r>
      <w:r w:rsidR="00032E1F" w:rsidRPr="00032E1F">
        <w:rPr>
          <w:rFonts w:ascii="Arial" w:hAnsi="Arial" w:cs="Arial"/>
          <w:szCs w:val="24"/>
          <w:lang w:val="es-MX"/>
        </w:rPr>
        <w:t>la transformación bacteriana con las construcciones plasmídi</w:t>
      </w:r>
      <w:r w:rsidR="00105D61">
        <w:rPr>
          <w:rFonts w:ascii="Arial" w:hAnsi="Arial" w:cs="Arial"/>
          <w:szCs w:val="24"/>
          <w:lang w:val="es-MX"/>
        </w:rPr>
        <w:t xml:space="preserve">cas de las cinco enzimas ESKPE. </w:t>
      </w:r>
      <w:r w:rsidR="00032E1F">
        <w:rPr>
          <w:rFonts w:ascii="Arial" w:hAnsi="Arial" w:cs="Arial"/>
          <w:szCs w:val="24"/>
          <w:lang w:val="es-MX"/>
        </w:rPr>
        <w:t>S</w:t>
      </w:r>
      <w:r w:rsidR="00032E1F" w:rsidRPr="00032E1F">
        <w:rPr>
          <w:rFonts w:ascii="Arial" w:hAnsi="Arial" w:cs="Arial"/>
          <w:szCs w:val="24"/>
          <w:lang w:val="es-MX"/>
        </w:rPr>
        <w:t>e lograron obtener cinco distintas proteínas recombinantes solubles con un grado de pureza de ~99 % observadas en el</w:t>
      </w:r>
      <w:r w:rsidR="00756BE4">
        <w:rPr>
          <w:rFonts w:ascii="Arial" w:hAnsi="Arial" w:cs="Arial"/>
          <w:szCs w:val="24"/>
          <w:lang w:val="es-MX"/>
        </w:rPr>
        <w:t xml:space="preserve"> gel desnaturalizante (Figura 2</w:t>
      </w:r>
      <w:r w:rsidR="00032E1F" w:rsidRPr="00032E1F">
        <w:rPr>
          <w:rFonts w:ascii="Arial" w:hAnsi="Arial" w:cs="Arial"/>
          <w:szCs w:val="24"/>
          <w:lang w:val="es-MX"/>
        </w:rPr>
        <w:t>) de SDS-PAGE 15%, en donde dentro del carril 1 se encuentra EcDapE (43.50 kDa), 3: SaDapE (47.60 kDa), 5: KDapE (43.80 kDa), 7: PaDapE (43.50 kDa), 9: EfDapE (43.80 kDa) y el 10: Marcador de masa molecular.</w:t>
      </w:r>
    </w:p>
    <w:p w:rsidR="00756BE4" w:rsidRDefault="00756BE4" w:rsidP="00756BE4">
      <w:pPr>
        <w:pStyle w:val="Textoindependiente"/>
        <w:spacing w:after="120"/>
        <w:jc w:val="center"/>
        <w:rPr>
          <w:rFonts w:ascii="Arial" w:hAnsi="Arial" w:cs="Arial"/>
          <w:szCs w:val="24"/>
          <w:lang w:val="es-MX"/>
        </w:rPr>
      </w:pPr>
      <w:r>
        <w:rPr>
          <w:noProof/>
          <w:lang w:val="es-MX" w:eastAsia="es-MX"/>
        </w:rPr>
        <w:drawing>
          <wp:inline distT="0" distB="0" distL="0" distR="0" wp14:anchorId="630611D7" wp14:editId="7AE7422A">
            <wp:extent cx="3104707" cy="1972208"/>
            <wp:effectExtent l="0" t="0" r="63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165" t="16972" r="23805" b="3907"/>
                    <a:stretch/>
                  </pic:blipFill>
                  <pic:spPr bwMode="auto">
                    <a:xfrm>
                      <a:off x="0" y="0"/>
                      <a:ext cx="3152713" cy="2002703"/>
                    </a:xfrm>
                    <a:prstGeom prst="rect">
                      <a:avLst/>
                    </a:prstGeom>
                    <a:ln>
                      <a:noFill/>
                    </a:ln>
                    <a:extLst>
                      <a:ext uri="{53640926-AAD7-44D8-BBD7-CCE9431645EC}">
                        <a14:shadowObscured xmlns:a14="http://schemas.microsoft.com/office/drawing/2010/main"/>
                      </a:ext>
                    </a:extLst>
                  </pic:spPr>
                </pic:pic>
              </a:graphicData>
            </a:graphic>
          </wp:inline>
        </w:drawing>
      </w:r>
    </w:p>
    <w:p w:rsidR="00756BE4" w:rsidRPr="00756BE4" w:rsidRDefault="00756BE4" w:rsidP="00DF7B99">
      <w:pPr>
        <w:pStyle w:val="Textoindependiente"/>
        <w:spacing w:after="120"/>
        <w:rPr>
          <w:rFonts w:ascii="Arial" w:hAnsi="Arial" w:cs="Arial"/>
          <w:sz w:val="20"/>
          <w:szCs w:val="24"/>
          <w:lang w:val="es-MX"/>
        </w:rPr>
      </w:pPr>
      <w:r w:rsidRPr="00105D61">
        <w:rPr>
          <w:rFonts w:ascii="Arial" w:hAnsi="Arial" w:cs="Arial"/>
          <w:b/>
          <w:sz w:val="20"/>
          <w:szCs w:val="24"/>
          <w:lang w:val="es-MX"/>
        </w:rPr>
        <w:t xml:space="preserve">Figura </w:t>
      </w:r>
      <w:r>
        <w:rPr>
          <w:rFonts w:ascii="Arial" w:hAnsi="Arial" w:cs="Arial"/>
          <w:b/>
          <w:sz w:val="20"/>
          <w:szCs w:val="24"/>
          <w:lang w:val="es-MX"/>
        </w:rPr>
        <w:t>2</w:t>
      </w:r>
      <w:r w:rsidRPr="00105D61">
        <w:rPr>
          <w:rFonts w:ascii="Arial" w:hAnsi="Arial" w:cs="Arial"/>
          <w:sz w:val="20"/>
          <w:szCs w:val="24"/>
          <w:lang w:val="es-MX"/>
        </w:rPr>
        <w:t xml:space="preserve">. Expresión y purificación de DapE. Las enzimas recombinantes fueron purificadas en dos pasos, 1) a través de una columna de afinidad Ni-NTA Agarosa y 2) a través de una columna de exclusión molecular </w:t>
      </w:r>
      <w:proofErr w:type="spellStart"/>
      <w:r w:rsidRPr="00105D61">
        <w:rPr>
          <w:rFonts w:ascii="Arial" w:hAnsi="Arial" w:cs="Arial"/>
          <w:sz w:val="20"/>
          <w:szCs w:val="24"/>
          <w:lang w:val="es-MX"/>
        </w:rPr>
        <w:t>Superdex</w:t>
      </w:r>
      <w:proofErr w:type="spellEnd"/>
      <w:r w:rsidRPr="00105D61">
        <w:rPr>
          <w:rFonts w:ascii="Arial" w:hAnsi="Arial" w:cs="Arial"/>
          <w:sz w:val="20"/>
          <w:szCs w:val="24"/>
          <w:lang w:val="es-MX"/>
        </w:rPr>
        <w:t xml:space="preserve"> 75 </w:t>
      </w:r>
      <w:proofErr w:type="spellStart"/>
      <w:r w:rsidRPr="00105D61">
        <w:rPr>
          <w:rFonts w:ascii="Arial" w:hAnsi="Arial" w:cs="Arial"/>
          <w:sz w:val="20"/>
          <w:szCs w:val="24"/>
          <w:lang w:val="es-MX"/>
        </w:rPr>
        <w:t>Increase</w:t>
      </w:r>
      <w:proofErr w:type="spellEnd"/>
      <w:r w:rsidRPr="00105D61">
        <w:rPr>
          <w:rFonts w:ascii="Arial" w:hAnsi="Arial" w:cs="Arial"/>
          <w:sz w:val="20"/>
          <w:szCs w:val="24"/>
          <w:lang w:val="es-MX"/>
        </w:rPr>
        <w:t>.</w:t>
      </w:r>
    </w:p>
    <w:p w:rsidR="00856731" w:rsidRDefault="00105D61" w:rsidP="00DF7B99">
      <w:pPr>
        <w:pStyle w:val="Textoindependiente"/>
        <w:spacing w:after="120"/>
        <w:rPr>
          <w:rFonts w:ascii="Arial" w:hAnsi="Arial" w:cs="Arial"/>
          <w:noProof/>
          <w:szCs w:val="24"/>
          <w:lang w:val="es-MX" w:eastAsia="es-MX"/>
        </w:rPr>
      </w:pPr>
      <w:r>
        <w:rPr>
          <w:rFonts w:ascii="Arial" w:hAnsi="Arial" w:cs="Arial"/>
          <w:szCs w:val="24"/>
          <w:lang w:val="es-MX"/>
        </w:rPr>
        <w:t>Al punto de h</w:t>
      </w:r>
      <w:r w:rsidR="00756BE4">
        <w:rPr>
          <w:rFonts w:ascii="Arial" w:hAnsi="Arial" w:cs="Arial"/>
          <w:szCs w:val="24"/>
          <w:lang w:val="es-MX"/>
        </w:rPr>
        <w:t>aber obtenido</w:t>
      </w:r>
      <w:r>
        <w:rPr>
          <w:rFonts w:ascii="Arial" w:hAnsi="Arial" w:cs="Arial"/>
          <w:szCs w:val="24"/>
          <w:lang w:val="es-MX"/>
        </w:rPr>
        <w:t xml:space="preserve"> con alto grado de pureza </w:t>
      </w:r>
      <w:r w:rsidR="00756BE4">
        <w:rPr>
          <w:rFonts w:ascii="Arial" w:hAnsi="Arial" w:cs="Arial"/>
          <w:szCs w:val="24"/>
          <w:lang w:val="es-MX"/>
        </w:rPr>
        <w:t xml:space="preserve">a las cinco DapE, </w:t>
      </w:r>
      <w:r>
        <w:rPr>
          <w:rFonts w:ascii="Arial" w:hAnsi="Arial" w:cs="Arial"/>
          <w:szCs w:val="24"/>
          <w:lang w:val="es-MX"/>
        </w:rPr>
        <w:t>se procedió a c</w:t>
      </w:r>
      <w:r w:rsidRPr="00105D61">
        <w:rPr>
          <w:rFonts w:ascii="Arial" w:hAnsi="Arial" w:cs="Arial"/>
          <w:szCs w:val="24"/>
          <w:lang w:val="es-MX"/>
        </w:rPr>
        <w:t>aracterizar</w:t>
      </w:r>
      <w:r w:rsidR="00756BE4">
        <w:rPr>
          <w:rFonts w:ascii="Arial" w:hAnsi="Arial" w:cs="Arial"/>
          <w:szCs w:val="24"/>
          <w:lang w:val="es-MX"/>
        </w:rPr>
        <w:t>las</w:t>
      </w:r>
      <w:r w:rsidRPr="00105D61">
        <w:rPr>
          <w:rFonts w:ascii="Arial" w:hAnsi="Arial" w:cs="Arial"/>
          <w:szCs w:val="24"/>
          <w:lang w:val="es-MX"/>
        </w:rPr>
        <w:t xml:space="preserve"> estructuralmente a través de dicroísmo </w:t>
      </w:r>
      <w:r w:rsidR="004F1A37">
        <w:rPr>
          <w:rFonts w:ascii="Arial" w:hAnsi="Arial" w:cs="Arial"/>
          <w:szCs w:val="24"/>
          <w:lang w:val="es-MX"/>
        </w:rPr>
        <w:t xml:space="preserve">circular </w:t>
      </w:r>
      <w:r w:rsidR="0044653C">
        <w:rPr>
          <w:rFonts w:ascii="Arial" w:hAnsi="Arial" w:cs="Arial"/>
          <w:szCs w:val="24"/>
          <w:lang w:val="es-MX"/>
        </w:rPr>
        <w:t xml:space="preserve">a </w:t>
      </w:r>
      <w:r w:rsidR="005E1063">
        <w:rPr>
          <w:rFonts w:ascii="Arial" w:hAnsi="Arial" w:cs="Arial"/>
          <w:szCs w:val="24"/>
          <w:lang w:val="es-MX"/>
        </w:rPr>
        <w:t>través</w:t>
      </w:r>
      <w:r w:rsidR="0044653C">
        <w:rPr>
          <w:rFonts w:ascii="Arial" w:hAnsi="Arial" w:cs="Arial"/>
          <w:szCs w:val="24"/>
          <w:lang w:val="es-MX"/>
        </w:rPr>
        <w:t xml:space="preserve"> de un </w:t>
      </w:r>
      <w:proofErr w:type="spellStart"/>
      <w:r w:rsidR="0044653C" w:rsidRPr="0044653C">
        <w:rPr>
          <w:rFonts w:ascii="Arial" w:hAnsi="Arial" w:cs="Arial"/>
          <w:szCs w:val="24"/>
          <w:lang w:val="es-MX"/>
        </w:rPr>
        <w:lastRenderedPageBreak/>
        <w:t>espectropolarímetro</w:t>
      </w:r>
      <w:proofErr w:type="spellEnd"/>
      <w:r w:rsidR="0044653C" w:rsidRPr="0044653C">
        <w:rPr>
          <w:rFonts w:ascii="Arial" w:hAnsi="Arial" w:cs="Arial"/>
          <w:szCs w:val="24"/>
          <w:lang w:val="es-MX"/>
        </w:rPr>
        <w:t xml:space="preserve"> Jasco J-810 </w:t>
      </w:r>
      <w:r w:rsidR="0044653C">
        <w:rPr>
          <w:rFonts w:ascii="Arial" w:hAnsi="Arial" w:cs="Arial"/>
          <w:szCs w:val="24"/>
          <w:lang w:val="es-MX"/>
        </w:rPr>
        <w:t>en donde se obtuvieron</w:t>
      </w:r>
      <w:r w:rsidR="004F1A37">
        <w:rPr>
          <w:rFonts w:ascii="Arial" w:hAnsi="Arial" w:cs="Arial"/>
          <w:szCs w:val="24"/>
          <w:lang w:val="es-MX"/>
        </w:rPr>
        <w:t xml:space="preserve"> espectros</w:t>
      </w:r>
      <w:r w:rsidR="0044653C">
        <w:rPr>
          <w:rFonts w:ascii="Arial" w:hAnsi="Arial" w:cs="Arial"/>
          <w:szCs w:val="24"/>
          <w:lang w:val="es-MX"/>
        </w:rPr>
        <w:t xml:space="preserve"> en la región del UV lejano (200-250 nm) que posteriormente</w:t>
      </w:r>
      <w:r w:rsidR="004F1A37">
        <w:rPr>
          <w:rFonts w:ascii="Arial" w:hAnsi="Arial" w:cs="Arial"/>
          <w:szCs w:val="24"/>
          <w:lang w:val="es-MX"/>
        </w:rPr>
        <w:t xml:space="preserve"> fueron analizados a través</w:t>
      </w:r>
      <w:r w:rsidR="001F2F83">
        <w:rPr>
          <w:rFonts w:ascii="Arial" w:hAnsi="Arial" w:cs="Arial"/>
          <w:szCs w:val="24"/>
          <w:lang w:val="es-MX"/>
        </w:rPr>
        <w:t xml:space="preserve"> del servidor de </w:t>
      </w:r>
      <w:r w:rsidR="004F1A37">
        <w:rPr>
          <w:rFonts w:ascii="Arial" w:hAnsi="Arial" w:cs="Arial"/>
          <w:szCs w:val="24"/>
          <w:lang w:val="es-MX"/>
        </w:rPr>
        <w:t>K2D3 (</w:t>
      </w:r>
      <w:hyperlink r:id="rId11" w:history="1">
        <w:r w:rsidR="004F1A37" w:rsidRPr="00191C6F">
          <w:rPr>
            <w:rStyle w:val="Hipervnculo"/>
            <w:rFonts w:ascii="Arial" w:hAnsi="Arial" w:cs="Arial"/>
            <w:szCs w:val="24"/>
            <w:lang w:val="es-MX"/>
          </w:rPr>
          <w:t>http://cbdm-01.zdv.uni-mainz.de/~andrade/k2d3/</w:t>
        </w:r>
      </w:hyperlink>
      <w:r w:rsidR="004F1A37">
        <w:rPr>
          <w:rFonts w:ascii="Arial" w:hAnsi="Arial" w:cs="Arial"/>
          <w:szCs w:val="24"/>
          <w:lang w:val="es-MX"/>
        </w:rPr>
        <w:t>)</w:t>
      </w:r>
      <w:r w:rsidR="00756BE4">
        <w:rPr>
          <w:rFonts w:ascii="Arial" w:hAnsi="Arial" w:cs="Arial"/>
          <w:szCs w:val="24"/>
          <w:lang w:val="es-MX"/>
        </w:rPr>
        <w:t xml:space="preserve">, el cual </w:t>
      </w:r>
      <w:r w:rsidR="00756BE4" w:rsidRPr="00756BE4">
        <w:rPr>
          <w:rFonts w:ascii="Arial" w:hAnsi="Arial" w:cs="Arial"/>
          <w:szCs w:val="24"/>
          <w:lang w:val="es-MX"/>
        </w:rPr>
        <w:t>arrojo las siguientes</w:t>
      </w:r>
      <w:r w:rsidR="00856731">
        <w:rPr>
          <w:rFonts w:ascii="Arial" w:hAnsi="Arial" w:cs="Arial"/>
          <w:szCs w:val="24"/>
          <w:lang w:val="es-MX"/>
        </w:rPr>
        <w:t xml:space="preserve"> </w:t>
      </w:r>
      <w:r w:rsidR="00756BE4" w:rsidRPr="00756BE4">
        <w:rPr>
          <w:rFonts w:ascii="Arial" w:hAnsi="Arial" w:cs="Arial"/>
          <w:szCs w:val="24"/>
          <w:lang w:val="es-MX"/>
        </w:rPr>
        <w:t>proporciones de α-hélices y β-h</w:t>
      </w:r>
      <w:r w:rsidR="00756BE4">
        <w:rPr>
          <w:rFonts w:ascii="Arial" w:hAnsi="Arial" w:cs="Arial"/>
          <w:szCs w:val="24"/>
          <w:lang w:val="es-MX"/>
        </w:rPr>
        <w:t xml:space="preserve">ebras </w:t>
      </w:r>
      <w:r w:rsidR="00856731">
        <w:rPr>
          <w:rFonts w:ascii="Arial" w:hAnsi="Arial" w:cs="Arial"/>
          <w:szCs w:val="24"/>
          <w:lang w:val="es-MX"/>
        </w:rPr>
        <w:t>observados en la Figura 3.</w:t>
      </w:r>
      <w:r w:rsidR="008C261A">
        <w:rPr>
          <w:rFonts w:ascii="Arial" w:hAnsi="Arial" w:cs="Arial"/>
          <w:szCs w:val="24"/>
          <w:lang w:val="es-MX"/>
        </w:rPr>
        <w:t xml:space="preserve"> Dichas proporciones fueron comparadas con el porcentaje </w:t>
      </w:r>
      <w:r w:rsidR="008C261A" w:rsidRPr="008C261A">
        <w:rPr>
          <w:rFonts w:ascii="Arial" w:hAnsi="Arial" w:cs="Arial"/>
          <w:szCs w:val="24"/>
          <w:lang w:val="es-MX"/>
        </w:rPr>
        <w:t xml:space="preserve">de contenido de </w:t>
      </w:r>
      <w:r w:rsidR="008C261A" w:rsidRPr="00A0368F">
        <w:rPr>
          <w:rFonts w:ascii="Arial" w:eastAsia="Times New Roman" w:hAnsi="Arial"/>
          <w:bCs/>
          <w:kern w:val="28"/>
        </w:rPr>
        <w:t>α-hélices y β</w:t>
      </w:r>
      <w:r w:rsidR="008C261A">
        <w:rPr>
          <w:rFonts w:ascii="Arial" w:eastAsia="Times New Roman" w:hAnsi="Arial"/>
          <w:bCs/>
          <w:kern w:val="28"/>
        </w:rPr>
        <w:t>-hebras</w:t>
      </w:r>
      <w:r w:rsidR="008C261A" w:rsidRPr="008C261A">
        <w:rPr>
          <w:rFonts w:ascii="Arial" w:hAnsi="Arial" w:cs="Arial"/>
          <w:szCs w:val="24"/>
          <w:lang w:val="es-MX"/>
        </w:rPr>
        <w:t xml:space="preserve"> de las estructuras obtenidas experimentalmente por cristalografía de rayos X</w:t>
      </w:r>
      <w:r w:rsidR="008C261A">
        <w:rPr>
          <w:rFonts w:ascii="Arial" w:hAnsi="Arial" w:cs="Arial"/>
          <w:szCs w:val="24"/>
          <w:lang w:val="es-MX"/>
        </w:rPr>
        <w:t>.</w:t>
      </w:r>
    </w:p>
    <w:p w:rsidR="00032E1F" w:rsidRDefault="00856731" w:rsidP="005459B6">
      <w:pPr>
        <w:pStyle w:val="Textoindependiente"/>
        <w:spacing w:after="120"/>
        <w:jc w:val="center"/>
        <w:rPr>
          <w:rFonts w:ascii="Arial" w:hAnsi="Arial" w:cs="Arial"/>
          <w:noProof/>
          <w:szCs w:val="24"/>
          <w:lang w:val="es-MX" w:eastAsia="es-MX"/>
        </w:rPr>
      </w:pPr>
      <w:r>
        <w:rPr>
          <w:noProof/>
          <w:lang w:val="es-MX" w:eastAsia="es-MX"/>
        </w:rPr>
        <w:drawing>
          <wp:inline distT="0" distB="0" distL="0" distR="0" wp14:anchorId="522C3EBE" wp14:editId="6BCC7EC1">
            <wp:extent cx="3030184" cy="2509284"/>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5137" t="20870" r="12294" b="1703"/>
                    <a:stretch/>
                  </pic:blipFill>
                  <pic:spPr bwMode="auto">
                    <a:xfrm>
                      <a:off x="0" y="0"/>
                      <a:ext cx="3052095" cy="2527429"/>
                    </a:xfrm>
                    <a:prstGeom prst="rect">
                      <a:avLst/>
                    </a:prstGeom>
                    <a:ln>
                      <a:noFill/>
                    </a:ln>
                    <a:extLst>
                      <a:ext uri="{53640926-AAD7-44D8-BBD7-CCE9431645EC}">
                        <a14:shadowObscured xmlns:a14="http://schemas.microsoft.com/office/drawing/2010/main"/>
                      </a:ext>
                    </a:extLst>
                  </pic:spPr>
                </pic:pic>
              </a:graphicData>
            </a:graphic>
          </wp:inline>
        </w:drawing>
      </w:r>
    </w:p>
    <w:p w:rsidR="005459B6" w:rsidRPr="005459B6" w:rsidRDefault="005459B6" w:rsidP="00DF7B99">
      <w:pPr>
        <w:pStyle w:val="Textoindependiente"/>
        <w:spacing w:after="120"/>
        <w:rPr>
          <w:rFonts w:ascii="Arial" w:hAnsi="Arial" w:cs="Arial"/>
          <w:noProof/>
          <w:sz w:val="20"/>
          <w:szCs w:val="24"/>
          <w:lang w:val="es-MX" w:eastAsia="es-MX"/>
        </w:rPr>
      </w:pPr>
      <w:r>
        <w:rPr>
          <w:rFonts w:ascii="Arial" w:hAnsi="Arial" w:cs="Arial"/>
          <w:b/>
          <w:noProof/>
          <w:sz w:val="20"/>
          <w:szCs w:val="24"/>
          <w:lang w:val="es-MX" w:eastAsia="es-MX"/>
        </w:rPr>
        <w:t>Figura 3</w:t>
      </w:r>
      <w:r w:rsidRPr="005459B6">
        <w:rPr>
          <w:rFonts w:ascii="Arial" w:hAnsi="Arial" w:cs="Arial"/>
          <w:noProof/>
          <w:sz w:val="20"/>
          <w:szCs w:val="24"/>
          <w:lang w:val="es-MX" w:eastAsia="es-MX"/>
        </w:rPr>
        <w:t>. Espectro obtenido a través del análisis por dicroísmo circular de las cinco DapE, así como las proporciones estructurales de estructuras secundarias para cada enzima.</w:t>
      </w:r>
    </w:p>
    <w:p w:rsidR="00DF7B99" w:rsidRPr="001F2F83" w:rsidRDefault="005E1063" w:rsidP="009A6BCE">
      <w:pPr>
        <w:pStyle w:val="Textoindependiente"/>
        <w:spacing w:after="120"/>
        <w:rPr>
          <w:rFonts w:ascii="Arial" w:hAnsi="Arial"/>
          <w:szCs w:val="24"/>
        </w:rPr>
      </w:pPr>
      <w:r>
        <w:rPr>
          <w:rFonts w:ascii="Arial" w:hAnsi="Arial" w:cs="Arial"/>
          <w:szCs w:val="24"/>
          <w:lang w:val="es-MX"/>
        </w:rPr>
        <w:t>Consecutivamente se realizó la caracterización de</w:t>
      </w:r>
      <w:r w:rsidR="00DF7B99" w:rsidRPr="00DF7B99">
        <w:rPr>
          <w:rFonts w:ascii="Arial" w:hAnsi="Arial" w:cs="Arial"/>
          <w:szCs w:val="24"/>
          <w:lang w:val="es-MX"/>
        </w:rPr>
        <w:t xml:space="preserve"> la interacción entre los compuestos seleccionados y la enzima</w:t>
      </w:r>
      <w:r>
        <w:rPr>
          <w:rFonts w:ascii="Arial" w:hAnsi="Arial" w:cs="Arial"/>
          <w:szCs w:val="24"/>
          <w:lang w:val="es-MX"/>
        </w:rPr>
        <w:t xml:space="preserve"> EfDapE</w:t>
      </w:r>
      <w:r w:rsidR="00DF7B99" w:rsidRPr="00DF7B99">
        <w:rPr>
          <w:rFonts w:ascii="Arial" w:hAnsi="Arial" w:cs="Arial"/>
          <w:szCs w:val="24"/>
          <w:lang w:val="es-MX"/>
        </w:rPr>
        <w:t xml:space="preserve"> mediante u</w:t>
      </w:r>
      <w:r w:rsidR="009A6BCE">
        <w:rPr>
          <w:rFonts w:ascii="Arial" w:hAnsi="Arial" w:cs="Arial"/>
          <w:szCs w:val="24"/>
          <w:lang w:val="es-MX"/>
        </w:rPr>
        <w:t xml:space="preserve">nión al equilibrio e inhibición. </w:t>
      </w:r>
      <w:r w:rsidR="009A6BCE" w:rsidRPr="009A6BCE">
        <w:rPr>
          <w:rFonts w:ascii="Arial" w:hAnsi="Arial" w:cs="Arial"/>
          <w:szCs w:val="24"/>
          <w:lang w:val="es-MX"/>
        </w:rPr>
        <w:t>Se realizó una cinética de saturación de la enzima EfDapE con los diferentes fármacos (de 0 a 40</w:t>
      </w:r>
      <w:r w:rsidR="009A6BCE">
        <w:rPr>
          <w:rFonts w:ascii="Arial" w:hAnsi="Arial" w:cs="Arial"/>
          <w:szCs w:val="24"/>
          <w:lang w:val="es-MX"/>
        </w:rPr>
        <w:t>0 µM), logrando observar que la</w:t>
      </w:r>
      <w:r w:rsidR="009A6BCE" w:rsidRPr="009A6BCE">
        <w:rPr>
          <w:rFonts w:ascii="Arial" w:hAnsi="Arial" w:cs="Arial"/>
          <w:szCs w:val="24"/>
          <w:lang w:val="es-MX"/>
        </w:rPr>
        <w:t xml:space="preserve"> rutina </w:t>
      </w:r>
      <w:r w:rsidR="009A6BCE">
        <w:rPr>
          <w:rFonts w:ascii="Arial" w:hAnsi="Arial" w:cs="Arial"/>
          <w:szCs w:val="24"/>
          <w:lang w:val="es-MX"/>
        </w:rPr>
        <w:t>fue la que mostró</w:t>
      </w:r>
      <w:r w:rsidR="009A6BCE" w:rsidRPr="009A6BCE">
        <w:rPr>
          <w:rFonts w:ascii="Arial" w:hAnsi="Arial" w:cs="Arial"/>
          <w:szCs w:val="24"/>
          <w:lang w:val="es-MX"/>
        </w:rPr>
        <w:t xml:space="preserve"> una </w:t>
      </w:r>
      <w:r w:rsidR="009A6BCE" w:rsidRPr="009A6BCE">
        <w:rPr>
          <w:rFonts w:ascii="Arial" w:hAnsi="Arial" w:cs="Arial"/>
          <w:i/>
          <w:szCs w:val="24"/>
          <w:lang w:val="es-MX"/>
        </w:rPr>
        <w:t>K</w:t>
      </w:r>
      <w:r w:rsidR="009A6BCE" w:rsidRPr="009A6BCE">
        <w:rPr>
          <w:rFonts w:ascii="Arial" w:hAnsi="Arial" w:cs="Arial"/>
          <w:i/>
          <w:szCs w:val="24"/>
          <w:vertAlign w:val="subscript"/>
          <w:lang w:val="es-MX"/>
        </w:rPr>
        <w:t>d</w:t>
      </w:r>
      <w:r w:rsidR="009A6BCE">
        <w:rPr>
          <w:rFonts w:ascii="Arial" w:hAnsi="Arial" w:cs="Arial"/>
          <w:szCs w:val="24"/>
          <w:lang w:val="es-MX"/>
        </w:rPr>
        <w:t xml:space="preserve"> más pequeña</w:t>
      </w:r>
      <w:r w:rsidR="009A6BCE" w:rsidRPr="009A6BCE">
        <w:rPr>
          <w:rFonts w:ascii="Arial" w:hAnsi="Arial" w:cs="Arial"/>
          <w:szCs w:val="24"/>
          <w:lang w:val="es-MX"/>
        </w:rPr>
        <w:t xml:space="preserve"> (72.41 µM), mientras que la </w:t>
      </w:r>
      <w:proofErr w:type="spellStart"/>
      <w:r w:rsidR="009A6BCE" w:rsidRPr="009A6BCE">
        <w:rPr>
          <w:rFonts w:ascii="Arial" w:hAnsi="Arial" w:cs="Arial"/>
          <w:szCs w:val="24"/>
          <w:lang w:val="es-MX"/>
        </w:rPr>
        <w:t>orfenadrina</w:t>
      </w:r>
      <w:proofErr w:type="spellEnd"/>
      <w:r w:rsidR="009A6BCE" w:rsidRPr="009A6BCE">
        <w:rPr>
          <w:rFonts w:ascii="Arial" w:hAnsi="Arial" w:cs="Arial"/>
          <w:szCs w:val="24"/>
          <w:lang w:val="es-MX"/>
        </w:rPr>
        <w:t xml:space="preserve"> y la </w:t>
      </w:r>
      <w:proofErr w:type="spellStart"/>
      <w:r w:rsidR="009A6BCE" w:rsidRPr="009A6BCE">
        <w:rPr>
          <w:rFonts w:ascii="Arial" w:hAnsi="Arial" w:cs="Arial"/>
          <w:szCs w:val="24"/>
          <w:lang w:val="es-MX"/>
        </w:rPr>
        <w:t>quercetina</w:t>
      </w:r>
      <w:proofErr w:type="spellEnd"/>
      <w:r w:rsidR="009A6BCE" w:rsidRPr="009A6BCE">
        <w:rPr>
          <w:rFonts w:ascii="Arial" w:hAnsi="Arial" w:cs="Arial"/>
          <w:szCs w:val="24"/>
          <w:lang w:val="es-MX"/>
        </w:rPr>
        <w:t xml:space="preserve"> fueron las que mostraron </w:t>
      </w:r>
      <w:r w:rsidR="009A6BCE" w:rsidRPr="009A6BCE">
        <w:rPr>
          <w:rFonts w:ascii="Arial" w:hAnsi="Arial" w:cs="Arial"/>
          <w:i/>
          <w:szCs w:val="24"/>
          <w:lang w:val="es-MX"/>
        </w:rPr>
        <w:t>K</w:t>
      </w:r>
      <w:r w:rsidR="009A6BCE" w:rsidRPr="009A6BCE">
        <w:rPr>
          <w:rFonts w:ascii="Arial" w:hAnsi="Arial" w:cs="Arial"/>
          <w:i/>
          <w:szCs w:val="24"/>
          <w:vertAlign w:val="subscript"/>
          <w:lang w:val="es-MX"/>
        </w:rPr>
        <w:t>d</w:t>
      </w:r>
      <w:r w:rsidR="009A6BCE">
        <w:rPr>
          <w:rFonts w:ascii="Arial" w:hAnsi="Arial" w:cs="Arial"/>
          <w:szCs w:val="24"/>
          <w:lang w:val="es-MX"/>
        </w:rPr>
        <w:t xml:space="preserve"> </w:t>
      </w:r>
      <w:r w:rsidR="009A6BCE" w:rsidRPr="009A6BCE">
        <w:rPr>
          <w:rFonts w:ascii="Arial" w:hAnsi="Arial" w:cs="Arial"/>
          <w:szCs w:val="24"/>
          <w:lang w:val="es-MX"/>
        </w:rPr>
        <w:t xml:space="preserve">más grandes (105.9 y 113.3 µM, respectivamente) </w:t>
      </w:r>
      <w:r w:rsidR="009A6BCE">
        <w:rPr>
          <w:rFonts w:ascii="Arial" w:hAnsi="Arial" w:cs="Arial"/>
          <w:szCs w:val="24"/>
          <w:lang w:val="es-MX"/>
        </w:rPr>
        <w:t>como es mostrado en la Figura 4A</w:t>
      </w:r>
      <w:r w:rsidR="009A6BCE" w:rsidRPr="009A6BCE">
        <w:rPr>
          <w:rFonts w:ascii="Arial" w:hAnsi="Arial" w:cs="Arial"/>
          <w:szCs w:val="24"/>
          <w:lang w:val="es-MX"/>
        </w:rPr>
        <w:t>. Est</w:t>
      </w:r>
      <w:r w:rsidR="009A6BCE">
        <w:rPr>
          <w:rFonts w:ascii="Arial" w:hAnsi="Arial" w:cs="Arial"/>
          <w:szCs w:val="24"/>
          <w:lang w:val="es-MX"/>
        </w:rPr>
        <w:t>as evidencias sugieren que este flavonoide muestra</w:t>
      </w:r>
      <w:r w:rsidR="009A6BCE" w:rsidRPr="009A6BCE">
        <w:rPr>
          <w:rFonts w:ascii="Arial" w:hAnsi="Arial" w:cs="Arial"/>
          <w:szCs w:val="24"/>
          <w:lang w:val="es-MX"/>
        </w:rPr>
        <w:t xml:space="preserve"> mayor afinidad por la enzima, siendo que entre menor sea el valor de </w:t>
      </w:r>
      <w:r w:rsidR="009A6BCE" w:rsidRPr="009A6BCE">
        <w:rPr>
          <w:rFonts w:ascii="Arial" w:hAnsi="Arial" w:cs="Arial"/>
          <w:i/>
          <w:szCs w:val="24"/>
          <w:lang w:val="es-MX"/>
        </w:rPr>
        <w:t>K</w:t>
      </w:r>
      <w:r w:rsidR="009A6BCE" w:rsidRPr="009A6BCE">
        <w:rPr>
          <w:rFonts w:ascii="Arial" w:hAnsi="Arial" w:cs="Arial"/>
          <w:i/>
          <w:szCs w:val="24"/>
          <w:vertAlign w:val="subscript"/>
          <w:lang w:val="es-MX"/>
        </w:rPr>
        <w:t>d</w:t>
      </w:r>
      <w:r w:rsidR="009A6BCE" w:rsidRPr="009A6BCE">
        <w:rPr>
          <w:rFonts w:ascii="Arial" w:hAnsi="Arial" w:cs="Arial"/>
          <w:szCs w:val="24"/>
          <w:lang w:val="es-MX"/>
        </w:rPr>
        <w:t xml:space="preserve"> de una interacción, serán más afines.</w:t>
      </w:r>
      <w:r w:rsidR="009A6BCE">
        <w:rPr>
          <w:rFonts w:ascii="Arial" w:hAnsi="Arial" w:cs="Arial"/>
          <w:szCs w:val="24"/>
          <w:lang w:val="es-MX"/>
        </w:rPr>
        <w:t xml:space="preserve"> </w:t>
      </w:r>
      <w:r w:rsidR="009A6BCE">
        <w:rPr>
          <w:rFonts w:ascii="Arial" w:hAnsi="Arial"/>
          <w:szCs w:val="24"/>
        </w:rPr>
        <w:t xml:space="preserve">Posteriormente de realizar los estudios de unión al equilibrio, se realizaron los ensayos de cinética de inhibición de EfDapE en donde representantes de las familias de los flavonoides </w:t>
      </w:r>
      <w:proofErr w:type="spellStart"/>
      <w:r w:rsidR="009A6BCE">
        <w:rPr>
          <w:rFonts w:ascii="Arial" w:hAnsi="Arial"/>
          <w:szCs w:val="24"/>
        </w:rPr>
        <w:t>glucósilados</w:t>
      </w:r>
      <w:proofErr w:type="spellEnd"/>
      <w:r w:rsidR="009A6BCE">
        <w:rPr>
          <w:rFonts w:ascii="Arial" w:hAnsi="Arial"/>
          <w:szCs w:val="24"/>
        </w:rPr>
        <w:t xml:space="preserve"> (Rutina) y flavonoides (Quercetina) mostraron </w:t>
      </w:r>
      <w:r w:rsidR="009A6BCE" w:rsidRPr="00023C4C">
        <w:rPr>
          <w:rFonts w:ascii="Arial" w:hAnsi="Arial"/>
          <w:i/>
          <w:szCs w:val="24"/>
        </w:rPr>
        <w:t>IC</w:t>
      </w:r>
      <w:r w:rsidR="009A6BCE" w:rsidRPr="00023C4C">
        <w:rPr>
          <w:rFonts w:ascii="Arial" w:hAnsi="Arial"/>
          <w:i/>
          <w:szCs w:val="24"/>
          <w:vertAlign w:val="subscript"/>
        </w:rPr>
        <w:t>50</w:t>
      </w:r>
      <w:r w:rsidR="009A6BCE">
        <w:rPr>
          <w:rFonts w:ascii="Arial" w:hAnsi="Arial"/>
          <w:szCs w:val="24"/>
        </w:rPr>
        <w:t xml:space="preserve"> mayores (594 </w:t>
      </w:r>
      <w:r w:rsidR="009A6BCE">
        <w:rPr>
          <w:rFonts w:ascii="Arial" w:hAnsi="Arial" w:cs="Arial"/>
          <w:szCs w:val="24"/>
        </w:rPr>
        <w:t>µ</w:t>
      </w:r>
      <w:r w:rsidR="009A6BCE">
        <w:rPr>
          <w:rFonts w:ascii="Arial" w:hAnsi="Arial"/>
          <w:szCs w:val="24"/>
        </w:rPr>
        <w:t xml:space="preserve">M y 525.2 </w:t>
      </w:r>
      <w:r w:rsidR="009A6BCE">
        <w:rPr>
          <w:rFonts w:ascii="Arial" w:hAnsi="Arial" w:cs="Arial"/>
          <w:szCs w:val="24"/>
        </w:rPr>
        <w:t>µ</w:t>
      </w:r>
      <w:r w:rsidR="009A6BCE">
        <w:rPr>
          <w:rFonts w:ascii="Arial" w:hAnsi="Arial"/>
          <w:szCs w:val="24"/>
        </w:rPr>
        <w:t xml:space="preserve">M) que las que mostró la familia de las </w:t>
      </w:r>
      <w:proofErr w:type="spellStart"/>
      <w:r w:rsidR="009A6BCE">
        <w:rPr>
          <w:rFonts w:ascii="Arial" w:hAnsi="Arial"/>
          <w:szCs w:val="24"/>
        </w:rPr>
        <w:t>etanolaminas</w:t>
      </w:r>
      <w:proofErr w:type="spellEnd"/>
      <w:r w:rsidR="009A6BCE">
        <w:rPr>
          <w:rFonts w:ascii="Arial" w:hAnsi="Arial"/>
          <w:szCs w:val="24"/>
        </w:rPr>
        <w:t xml:space="preserve"> (Orfenadrina), la cual reflejo un </w:t>
      </w:r>
      <w:r w:rsidR="009A6BCE" w:rsidRPr="00023C4C">
        <w:rPr>
          <w:rFonts w:ascii="Arial" w:hAnsi="Arial"/>
          <w:i/>
          <w:szCs w:val="24"/>
        </w:rPr>
        <w:t>IC</w:t>
      </w:r>
      <w:r w:rsidR="009A6BCE" w:rsidRPr="00023C4C">
        <w:rPr>
          <w:rFonts w:ascii="Arial" w:hAnsi="Arial"/>
          <w:i/>
          <w:szCs w:val="24"/>
          <w:vertAlign w:val="subscript"/>
        </w:rPr>
        <w:t>50</w:t>
      </w:r>
      <w:r w:rsidR="009A6BCE">
        <w:rPr>
          <w:rFonts w:ascii="Arial" w:hAnsi="Arial"/>
          <w:szCs w:val="24"/>
          <w:vertAlign w:val="subscript"/>
        </w:rPr>
        <w:t xml:space="preserve"> </w:t>
      </w:r>
      <w:r w:rsidR="009A6BCE">
        <w:rPr>
          <w:rFonts w:ascii="Arial" w:hAnsi="Arial"/>
          <w:szCs w:val="24"/>
        </w:rPr>
        <w:t xml:space="preserve">de 42.73 </w:t>
      </w:r>
      <w:r w:rsidR="009A6BCE">
        <w:rPr>
          <w:rFonts w:ascii="Arial" w:hAnsi="Arial" w:cs="Arial"/>
          <w:szCs w:val="24"/>
        </w:rPr>
        <w:t>µ</w:t>
      </w:r>
      <w:r w:rsidR="009A6BCE">
        <w:rPr>
          <w:rFonts w:ascii="Arial" w:hAnsi="Arial"/>
          <w:szCs w:val="24"/>
        </w:rPr>
        <w:t xml:space="preserve">M, unas </w:t>
      </w:r>
      <w:r w:rsidR="009A6BCE">
        <w:rPr>
          <w:rFonts w:ascii="Arial" w:hAnsi="Arial"/>
          <w:szCs w:val="24"/>
        </w:rPr>
        <w:lastRenderedPageBreak/>
        <w:t>12-14 veces más pequeña que los fármacos que contienen parte de grupos flavonoides en su estructura (Figura 4B).</w:t>
      </w:r>
    </w:p>
    <w:p w:rsidR="004A59D3" w:rsidRDefault="004A59D3" w:rsidP="001F2F83">
      <w:pPr>
        <w:pStyle w:val="Textoindependiente"/>
        <w:spacing w:after="120"/>
        <w:jc w:val="center"/>
        <w:rPr>
          <w:rFonts w:ascii="Arial" w:hAnsi="Arial" w:cs="Arial"/>
          <w:szCs w:val="24"/>
          <w:lang w:val="es-MX"/>
        </w:rPr>
      </w:pPr>
      <w:r>
        <w:rPr>
          <w:noProof/>
          <w:lang w:val="es-MX" w:eastAsia="es-MX"/>
        </w:rPr>
        <w:drawing>
          <wp:inline distT="0" distB="0" distL="0" distR="0" wp14:anchorId="7B353CC7" wp14:editId="635726C0">
            <wp:extent cx="4785360" cy="2243470"/>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114" r="3598" b="2194"/>
                    <a:stretch/>
                  </pic:blipFill>
                  <pic:spPr bwMode="auto">
                    <a:xfrm>
                      <a:off x="0" y="0"/>
                      <a:ext cx="4815557" cy="2257627"/>
                    </a:xfrm>
                    <a:prstGeom prst="rect">
                      <a:avLst/>
                    </a:prstGeom>
                    <a:ln>
                      <a:noFill/>
                    </a:ln>
                    <a:extLst>
                      <a:ext uri="{53640926-AAD7-44D8-BBD7-CCE9431645EC}">
                        <a14:shadowObscured xmlns:a14="http://schemas.microsoft.com/office/drawing/2010/main"/>
                      </a:ext>
                    </a:extLst>
                  </pic:spPr>
                </pic:pic>
              </a:graphicData>
            </a:graphic>
          </wp:inline>
        </w:drawing>
      </w:r>
    </w:p>
    <w:p w:rsidR="004A59D3" w:rsidRPr="00204295" w:rsidRDefault="004A59D3" w:rsidP="00DF7B99">
      <w:pPr>
        <w:pStyle w:val="Textoindependiente"/>
        <w:spacing w:after="120"/>
        <w:rPr>
          <w:rFonts w:ascii="Arial" w:hAnsi="Arial" w:cs="Arial"/>
          <w:sz w:val="20"/>
          <w:szCs w:val="24"/>
          <w:lang w:val="es-MX"/>
        </w:rPr>
      </w:pPr>
      <w:r w:rsidRPr="00204295">
        <w:rPr>
          <w:rFonts w:ascii="Arial" w:hAnsi="Arial" w:cs="Arial"/>
          <w:b/>
          <w:sz w:val="20"/>
          <w:szCs w:val="24"/>
          <w:lang w:val="es-MX"/>
        </w:rPr>
        <w:t>Figura 4</w:t>
      </w:r>
      <w:r w:rsidRPr="00204295">
        <w:rPr>
          <w:rFonts w:ascii="Arial" w:hAnsi="Arial" w:cs="Arial"/>
          <w:sz w:val="20"/>
          <w:szCs w:val="24"/>
          <w:lang w:val="es-MX"/>
        </w:rPr>
        <w:t xml:space="preserve">. </w:t>
      </w:r>
      <w:r w:rsidR="009A6BCE" w:rsidRPr="00204295">
        <w:rPr>
          <w:rFonts w:ascii="Arial" w:hAnsi="Arial" w:cs="Arial"/>
          <w:sz w:val="20"/>
          <w:szCs w:val="24"/>
          <w:lang w:val="es-MX"/>
        </w:rPr>
        <w:t xml:space="preserve">Caracterización de la interacción entre los fármaco-EfDapE mediante unión al equilibrio e inhibición. A) Unión al equilibrio y </w:t>
      </w:r>
      <w:r w:rsidR="009A6BCE" w:rsidRPr="00204295">
        <w:rPr>
          <w:rFonts w:ascii="Arial" w:hAnsi="Arial" w:cs="Arial"/>
          <w:i/>
          <w:sz w:val="20"/>
          <w:szCs w:val="24"/>
          <w:lang w:val="es-MX"/>
        </w:rPr>
        <w:t>K</w:t>
      </w:r>
      <w:r w:rsidR="009A6BCE" w:rsidRPr="00204295">
        <w:rPr>
          <w:rFonts w:ascii="Arial" w:hAnsi="Arial" w:cs="Arial"/>
          <w:i/>
          <w:sz w:val="20"/>
          <w:szCs w:val="24"/>
          <w:vertAlign w:val="subscript"/>
          <w:lang w:val="es-MX"/>
        </w:rPr>
        <w:t>d</w:t>
      </w:r>
      <w:r w:rsidR="009A6BCE" w:rsidRPr="00204295">
        <w:rPr>
          <w:rFonts w:ascii="Arial" w:hAnsi="Arial" w:cs="Arial"/>
          <w:sz w:val="20"/>
          <w:szCs w:val="24"/>
          <w:lang w:val="es-MX"/>
        </w:rPr>
        <w:t xml:space="preserve"> de los fármacos que fueron seleccionados como potenciales inhibidores de DapE. B) Cinética de inhibición </w:t>
      </w:r>
      <w:r w:rsidR="00204295" w:rsidRPr="00204295">
        <w:rPr>
          <w:rFonts w:ascii="Arial" w:hAnsi="Arial" w:cs="Arial"/>
          <w:sz w:val="20"/>
          <w:szCs w:val="24"/>
          <w:lang w:val="es-MX"/>
        </w:rPr>
        <w:t xml:space="preserve">e </w:t>
      </w:r>
      <w:r w:rsidR="00204295" w:rsidRPr="00204295">
        <w:rPr>
          <w:rFonts w:ascii="Arial" w:hAnsi="Arial"/>
          <w:i/>
          <w:sz w:val="20"/>
          <w:szCs w:val="24"/>
        </w:rPr>
        <w:t>IC</w:t>
      </w:r>
      <w:r w:rsidR="00204295" w:rsidRPr="00204295">
        <w:rPr>
          <w:rFonts w:ascii="Arial" w:hAnsi="Arial"/>
          <w:i/>
          <w:sz w:val="20"/>
          <w:szCs w:val="24"/>
          <w:vertAlign w:val="subscript"/>
        </w:rPr>
        <w:t>50</w:t>
      </w:r>
      <w:r w:rsidR="00204295" w:rsidRPr="00204295">
        <w:rPr>
          <w:rFonts w:ascii="Arial" w:hAnsi="Arial"/>
          <w:sz w:val="20"/>
          <w:szCs w:val="24"/>
        </w:rPr>
        <w:t xml:space="preserve"> </w:t>
      </w:r>
      <w:r w:rsidR="009A6BCE" w:rsidRPr="00204295">
        <w:rPr>
          <w:rFonts w:ascii="Arial" w:hAnsi="Arial" w:cs="Arial"/>
          <w:sz w:val="20"/>
          <w:szCs w:val="24"/>
          <w:lang w:val="es-MX"/>
        </w:rPr>
        <w:t>de la actividad de DapE por fármacos seleccionados</w:t>
      </w:r>
      <w:r w:rsidR="00204295" w:rsidRPr="00204295">
        <w:rPr>
          <w:rFonts w:ascii="Arial" w:hAnsi="Arial" w:cs="Arial"/>
          <w:sz w:val="20"/>
          <w:szCs w:val="24"/>
          <w:lang w:val="es-MX"/>
        </w:rPr>
        <w:t>.</w:t>
      </w:r>
    </w:p>
    <w:p w:rsidR="00DF7B99" w:rsidRPr="00021C55" w:rsidRDefault="00C11C3E" w:rsidP="00021C55">
      <w:pPr>
        <w:pStyle w:val="Textoindependiente"/>
        <w:spacing w:after="120"/>
        <w:rPr>
          <w:rFonts w:ascii="Arial" w:hAnsi="Arial"/>
          <w:szCs w:val="24"/>
        </w:rPr>
      </w:pPr>
      <w:r>
        <w:rPr>
          <w:rFonts w:ascii="Arial" w:hAnsi="Arial" w:cs="Arial"/>
          <w:szCs w:val="24"/>
          <w:lang w:val="es-MX"/>
        </w:rPr>
        <w:t>Posteriormente se evaluaron las modificaciones de</w:t>
      </w:r>
      <w:r w:rsidR="00DF7B99" w:rsidRPr="00DF7B99">
        <w:rPr>
          <w:rFonts w:ascii="Arial" w:hAnsi="Arial" w:cs="Arial"/>
          <w:szCs w:val="24"/>
          <w:lang w:val="es-MX"/>
        </w:rPr>
        <w:t xml:space="preserve"> </w:t>
      </w:r>
      <w:proofErr w:type="spellStart"/>
      <w:r w:rsidR="00DF7B99" w:rsidRPr="00DF7B99">
        <w:rPr>
          <w:rFonts w:ascii="Arial" w:hAnsi="Arial" w:cs="Arial"/>
          <w:szCs w:val="24"/>
          <w:lang w:val="es-MX"/>
        </w:rPr>
        <w:t>termoestabilidad</w:t>
      </w:r>
      <w:proofErr w:type="spellEnd"/>
      <w:r w:rsidR="00DF7B99" w:rsidRPr="00DF7B99">
        <w:rPr>
          <w:rFonts w:ascii="Arial" w:hAnsi="Arial" w:cs="Arial"/>
          <w:szCs w:val="24"/>
          <w:lang w:val="es-MX"/>
        </w:rPr>
        <w:t xml:space="preserve"> de DapE en p</w:t>
      </w:r>
      <w:r>
        <w:rPr>
          <w:rFonts w:ascii="Arial" w:hAnsi="Arial" w:cs="Arial"/>
          <w:szCs w:val="24"/>
          <w:lang w:val="es-MX"/>
        </w:rPr>
        <w:t xml:space="preserve">resencia y ausencia de </w:t>
      </w:r>
      <w:proofErr w:type="spellStart"/>
      <w:r>
        <w:rPr>
          <w:rFonts w:ascii="Arial" w:hAnsi="Arial" w:cs="Arial"/>
          <w:szCs w:val="24"/>
          <w:lang w:val="es-MX"/>
        </w:rPr>
        <w:t>ligandos</w:t>
      </w:r>
      <w:proofErr w:type="spellEnd"/>
      <w:r w:rsidR="001A0498">
        <w:rPr>
          <w:rFonts w:ascii="Arial" w:hAnsi="Arial" w:cs="Arial"/>
          <w:szCs w:val="24"/>
          <w:lang w:val="es-MX"/>
        </w:rPr>
        <w:t xml:space="preserve"> mediante el monitoreo</w:t>
      </w:r>
      <w:r w:rsidR="001A0498">
        <w:rPr>
          <w:rFonts w:ascii="Arial" w:hAnsi="Arial"/>
          <w:szCs w:val="24"/>
        </w:rPr>
        <w:t xml:space="preserve"> de la emisión de fluorescencia de SYPRO Orange a una </w:t>
      </w:r>
      <w:proofErr w:type="spellStart"/>
      <w:r w:rsidR="001A0498">
        <w:rPr>
          <w:rFonts w:ascii="Arial" w:hAnsi="Arial"/>
          <w:szCs w:val="24"/>
        </w:rPr>
        <w:t>λ</w:t>
      </w:r>
      <w:r w:rsidR="001A0498" w:rsidRPr="003C6626">
        <w:rPr>
          <w:rFonts w:ascii="Arial" w:hAnsi="Arial"/>
          <w:szCs w:val="24"/>
          <w:vertAlign w:val="subscript"/>
        </w:rPr>
        <w:t>ex</w:t>
      </w:r>
      <w:proofErr w:type="spellEnd"/>
      <w:r w:rsidR="001A0498">
        <w:rPr>
          <w:rFonts w:ascii="Arial" w:hAnsi="Arial"/>
          <w:szCs w:val="24"/>
        </w:rPr>
        <w:t xml:space="preserve"> de </w:t>
      </w:r>
      <w:r w:rsidR="001A0498" w:rsidRPr="003C6626">
        <w:rPr>
          <w:rFonts w:ascii="Arial" w:hAnsi="Arial"/>
          <w:szCs w:val="24"/>
        </w:rPr>
        <w:t>470 nm</w:t>
      </w:r>
      <w:r w:rsidR="001A0498">
        <w:rPr>
          <w:rFonts w:ascii="Arial" w:hAnsi="Arial"/>
          <w:szCs w:val="24"/>
        </w:rPr>
        <w:t xml:space="preserve"> mientras ocurría el proceso de desnaturalización térmica de la proteína.</w:t>
      </w:r>
      <w:r w:rsidR="00021C55">
        <w:rPr>
          <w:rFonts w:ascii="Arial" w:hAnsi="Arial"/>
          <w:szCs w:val="24"/>
        </w:rPr>
        <w:t xml:space="preserve"> Lo cual provocó un cambio en la temperatura de fusión de las diferentes enzimas y con ello se logró cuantificar la estabilidad en </w:t>
      </w:r>
      <w:r w:rsidR="00021C55">
        <w:rPr>
          <w:rFonts w:ascii="Calibri" w:hAnsi="Calibri" w:cs="Calibri"/>
          <w:szCs w:val="24"/>
        </w:rPr>
        <w:t>˚</w:t>
      </w:r>
      <w:r w:rsidR="00021C55">
        <w:rPr>
          <w:rFonts w:ascii="Arial" w:hAnsi="Arial"/>
          <w:szCs w:val="24"/>
        </w:rPr>
        <w:t xml:space="preserve">C que brindan los diferentes </w:t>
      </w:r>
      <w:proofErr w:type="spellStart"/>
      <w:r w:rsidR="00021C55">
        <w:rPr>
          <w:rFonts w:ascii="Arial" w:hAnsi="Arial"/>
          <w:szCs w:val="24"/>
        </w:rPr>
        <w:t>ligandos</w:t>
      </w:r>
      <w:proofErr w:type="spellEnd"/>
      <w:r w:rsidR="00021C55">
        <w:rPr>
          <w:rFonts w:ascii="Arial" w:hAnsi="Arial"/>
          <w:szCs w:val="24"/>
        </w:rPr>
        <w:t xml:space="preserve"> que tienden a unirse a la proteína</w:t>
      </w:r>
      <w:sdt>
        <w:sdtPr>
          <w:rPr>
            <w:rFonts w:ascii="Arial" w:hAnsi="Arial"/>
            <w:szCs w:val="24"/>
          </w:rPr>
          <w:id w:val="-520556917"/>
          <w:citation/>
        </w:sdtPr>
        <w:sdtEndPr/>
        <w:sdtContent>
          <w:r w:rsidR="00021C55">
            <w:rPr>
              <w:rFonts w:ascii="Arial" w:hAnsi="Arial"/>
              <w:szCs w:val="24"/>
            </w:rPr>
            <w:fldChar w:fldCharType="begin"/>
          </w:r>
          <w:r w:rsidR="00021C55">
            <w:rPr>
              <w:rFonts w:ascii="Arial" w:hAnsi="Arial"/>
              <w:szCs w:val="24"/>
              <w:lang w:val="es-MX"/>
            </w:rPr>
            <w:instrText xml:space="preserve"> CITATION Huy15 \l 2058 </w:instrText>
          </w:r>
          <w:r w:rsidR="00021C55">
            <w:rPr>
              <w:rFonts w:ascii="Arial" w:hAnsi="Arial"/>
              <w:szCs w:val="24"/>
            </w:rPr>
            <w:fldChar w:fldCharType="separate"/>
          </w:r>
          <w:r w:rsidR="00021C55">
            <w:rPr>
              <w:rFonts w:ascii="Arial" w:hAnsi="Arial"/>
              <w:noProof/>
              <w:szCs w:val="24"/>
              <w:lang w:val="es-MX"/>
            </w:rPr>
            <w:t xml:space="preserve"> </w:t>
          </w:r>
          <w:r w:rsidR="00021C55" w:rsidRPr="00CE3BF0">
            <w:rPr>
              <w:rFonts w:ascii="Arial" w:hAnsi="Arial"/>
              <w:noProof/>
              <w:szCs w:val="24"/>
              <w:lang w:val="es-MX"/>
            </w:rPr>
            <w:t>(Huynh, 2015)</w:t>
          </w:r>
          <w:r w:rsidR="00021C55">
            <w:rPr>
              <w:rFonts w:ascii="Arial" w:hAnsi="Arial"/>
              <w:szCs w:val="24"/>
            </w:rPr>
            <w:fldChar w:fldCharType="end"/>
          </w:r>
        </w:sdtContent>
      </w:sdt>
      <w:r w:rsidR="00021C55">
        <w:rPr>
          <w:rFonts w:ascii="Arial" w:hAnsi="Arial"/>
          <w:szCs w:val="24"/>
        </w:rPr>
        <w:t xml:space="preserve">. En donde como se puede observar en la Figura 5, la Orfenadrina, Disulfiram y Quercetina muestran una tendencia mayor a desestabilizar a todas las enzimas, superando algunas (KDapE y SaDapE) hasta un cambio de 20 </w:t>
      </w:r>
      <w:r w:rsidR="00021C55">
        <w:rPr>
          <w:rFonts w:ascii="Calibri" w:hAnsi="Calibri" w:cs="Calibri"/>
          <w:szCs w:val="24"/>
        </w:rPr>
        <w:t>˚</w:t>
      </w:r>
      <w:r w:rsidR="00021C55">
        <w:rPr>
          <w:rFonts w:ascii="Arial" w:hAnsi="Arial"/>
          <w:szCs w:val="24"/>
        </w:rPr>
        <w:t xml:space="preserve">C de </w:t>
      </w:r>
      <w:r w:rsidR="00021C55" w:rsidRPr="00EF5828">
        <w:rPr>
          <w:rFonts w:ascii="Arial" w:hAnsi="Arial"/>
          <w:i/>
          <w:szCs w:val="24"/>
        </w:rPr>
        <w:t>T</w:t>
      </w:r>
      <w:r w:rsidR="00021C55" w:rsidRPr="00EF5828">
        <w:rPr>
          <w:rFonts w:ascii="Arial" w:hAnsi="Arial"/>
          <w:i/>
          <w:szCs w:val="24"/>
          <w:vertAlign w:val="subscript"/>
        </w:rPr>
        <w:t>m</w:t>
      </w:r>
      <w:r w:rsidR="00021C55">
        <w:rPr>
          <w:rFonts w:ascii="Arial" w:hAnsi="Arial"/>
          <w:szCs w:val="24"/>
        </w:rPr>
        <w:t xml:space="preserve">. En contraparte se encuentran los fármacos Catequina y los Ácidos, Cafeíco, Cumárico y Gálico, siendo los que desestabilizan en menor proporción a las enzimas, pero no siendo de menor importancia debido a que a distintas enzimas (SaDapE, KDapE y PaDapE) son perturbadas hasta por 10 </w:t>
      </w:r>
      <w:r w:rsidR="00021C55">
        <w:rPr>
          <w:rFonts w:ascii="Calibri" w:hAnsi="Calibri" w:cs="Calibri"/>
          <w:szCs w:val="24"/>
        </w:rPr>
        <w:t>˚</w:t>
      </w:r>
      <w:r w:rsidR="00021C55">
        <w:rPr>
          <w:rFonts w:ascii="Arial" w:hAnsi="Arial"/>
          <w:szCs w:val="24"/>
        </w:rPr>
        <w:t xml:space="preserve">C de </w:t>
      </w:r>
      <w:r w:rsidR="00021C55" w:rsidRPr="00EF5828">
        <w:rPr>
          <w:rFonts w:ascii="Arial" w:hAnsi="Arial"/>
          <w:i/>
          <w:szCs w:val="24"/>
        </w:rPr>
        <w:t>T</w:t>
      </w:r>
      <w:r w:rsidR="00021C55" w:rsidRPr="00EF5828">
        <w:rPr>
          <w:rFonts w:ascii="Arial" w:hAnsi="Arial"/>
          <w:i/>
          <w:szCs w:val="24"/>
          <w:vertAlign w:val="subscript"/>
        </w:rPr>
        <w:t>m</w:t>
      </w:r>
      <w:r w:rsidR="00021C55">
        <w:rPr>
          <w:rFonts w:ascii="Arial" w:hAnsi="Arial"/>
          <w:szCs w:val="24"/>
        </w:rPr>
        <w:t xml:space="preserve">. Un aspecto importante de destacar es que las enzimas que mostraron menor perturbación de su </w:t>
      </w:r>
      <w:r w:rsidR="00021C55" w:rsidRPr="00081A59">
        <w:rPr>
          <w:rFonts w:ascii="Arial" w:hAnsi="Arial"/>
          <w:i/>
          <w:szCs w:val="24"/>
        </w:rPr>
        <w:t>T</w:t>
      </w:r>
      <w:r w:rsidR="00021C55" w:rsidRPr="00081A59">
        <w:rPr>
          <w:rFonts w:ascii="Arial" w:hAnsi="Arial"/>
          <w:i/>
          <w:szCs w:val="24"/>
          <w:vertAlign w:val="subscript"/>
        </w:rPr>
        <w:t>m</w:t>
      </w:r>
      <w:r w:rsidR="00021C55" w:rsidRPr="00081A59">
        <w:rPr>
          <w:rFonts w:ascii="Arial" w:hAnsi="Arial"/>
          <w:szCs w:val="24"/>
        </w:rPr>
        <w:t xml:space="preserve"> </w:t>
      </w:r>
      <w:r w:rsidR="00021C55">
        <w:rPr>
          <w:rFonts w:ascii="Arial" w:hAnsi="Arial"/>
          <w:szCs w:val="24"/>
        </w:rPr>
        <w:t>después de la interacción dada con los diferentes fármacos fueron EcDapE y EfDapE, mientras que la más termolábil fue KDapE.</w:t>
      </w:r>
    </w:p>
    <w:p w:rsidR="00765BCE" w:rsidRDefault="00765BCE" w:rsidP="00021C55">
      <w:pPr>
        <w:pStyle w:val="Textoindependiente"/>
        <w:spacing w:after="120"/>
        <w:jc w:val="center"/>
        <w:rPr>
          <w:rFonts w:ascii="Arial" w:hAnsi="Arial" w:cs="Arial"/>
          <w:szCs w:val="24"/>
          <w:lang w:val="es-MX"/>
        </w:rPr>
      </w:pPr>
      <w:r w:rsidRPr="00765BCE">
        <w:rPr>
          <w:rFonts w:ascii="Arial" w:hAnsi="Arial" w:cs="Arial"/>
          <w:noProof/>
          <w:szCs w:val="24"/>
          <w:lang w:val="es-MX" w:eastAsia="es-MX"/>
        </w:rPr>
        <w:lastRenderedPageBreak/>
        <w:drawing>
          <wp:inline distT="0" distB="0" distL="0" distR="0" wp14:anchorId="33185290" wp14:editId="28E95BED">
            <wp:extent cx="3679650" cy="2945219"/>
            <wp:effectExtent l="0" t="0" r="0" b="762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14"/>
                    <a:srcRect t="1911" b="1939"/>
                    <a:stretch/>
                  </pic:blipFill>
                  <pic:spPr>
                    <a:xfrm>
                      <a:off x="0" y="0"/>
                      <a:ext cx="3721200" cy="2978476"/>
                    </a:xfrm>
                    <a:prstGeom prst="rect">
                      <a:avLst/>
                    </a:prstGeom>
                  </pic:spPr>
                </pic:pic>
              </a:graphicData>
            </a:graphic>
          </wp:inline>
        </w:drawing>
      </w:r>
    </w:p>
    <w:p w:rsidR="00021C55" w:rsidRPr="00021C55" w:rsidRDefault="00021C55" w:rsidP="00DF7B99">
      <w:pPr>
        <w:pStyle w:val="Textoindependiente"/>
        <w:spacing w:after="120"/>
        <w:rPr>
          <w:rFonts w:ascii="Arial" w:hAnsi="Arial" w:cs="Arial"/>
          <w:sz w:val="20"/>
          <w:szCs w:val="24"/>
          <w:lang w:val="es-MX"/>
        </w:rPr>
      </w:pPr>
      <w:r w:rsidRPr="00021C55">
        <w:rPr>
          <w:rFonts w:ascii="Arial" w:hAnsi="Arial" w:cs="Arial"/>
          <w:b/>
          <w:sz w:val="20"/>
          <w:szCs w:val="24"/>
          <w:lang w:val="es-MX"/>
        </w:rPr>
        <w:t>Figura 5</w:t>
      </w:r>
      <w:r w:rsidRPr="00021C55">
        <w:rPr>
          <w:rFonts w:ascii="Arial" w:hAnsi="Arial" w:cs="Arial"/>
          <w:sz w:val="20"/>
          <w:szCs w:val="24"/>
          <w:lang w:val="es-MX"/>
        </w:rPr>
        <w:t xml:space="preserve">. Modificación de </w:t>
      </w:r>
      <w:r w:rsidRPr="00021C55">
        <w:rPr>
          <w:rFonts w:ascii="Arial" w:hAnsi="Arial" w:cs="Arial"/>
          <w:i/>
          <w:sz w:val="20"/>
          <w:szCs w:val="24"/>
          <w:lang w:val="es-MX"/>
        </w:rPr>
        <w:t>T</w:t>
      </w:r>
      <w:r w:rsidRPr="00021C55">
        <w:rPr>
          <w:rFonts w:ascii="Arial" w:hAnsi="Arial" w:cs="Arial"/>
          <w:i/>
          <w:sz w:val="20"/>
          <w:szCs w:val="24"/>
          <w:vertAlign w:val="subscript"/>
          <w:lang w:val="es-MX"/>
        </w:rPr>
        <w:t>m</w:t>
      </w:r>
      <w:r w:rsidRPr="00021C55">
        <w:rPr>
          <w:rFonts w:ascii="Arial" w:hAnsi="Arial" w:cs="Arial"/>
          <w:sz w:val="20"/>
          <w:szCs w:val="24"/>
          <w:lang w:val="es-MX"/>
        </w:rPr>
        <w:t xml:space="preserve"> a través de la interacción DapE-Fármaco.</w:t>
      </w:r>
    </w:p>
    <w:p w:rsidR="00021C55" w:rsidRDefault="00021C55" w:rsidP="00021C55">
      <w:pPr>
        <w:pStyle w:val="Textoindependiente"/>
        <w:spacing w:after="120"/>
        <w:rPr>
          <w:rFonts w:ascii="Arial" w:hAnsi="Arial"/>
          <w:szCs w:val="24"/>
        </w:rPr>
      </w:pPr>
      <w:r>
        <w:rPr>
          <w:rFonts w:ascii="Arial" w:hAnsi="Arial" w:cs="Arial"/>
          <w:szCs w:val="24"/>
          <w:lang w:val="es-MX"/>
        </w:rPr>
        <w:t>Finalmente</w:t>
      </w:r>
      <w:r w:rsidR="00A534DE">
        <w:rPr>
          <w:rFonts w:ascii="Arial" w:hAnsi="Arial" w:cs="Arial"/>
          <w:szCs w:val="24"/>
          <w:lang w:val="es-MX"/>
        </w:rPr>
        <w:t xml:space="preserve"> se</w:t>
      </w:r>
      <w:r w:rsidR="00A534DE">
        <w:rPr>
          <w:rFonts w:ascii="Arial" w:hAnsi="Arial"/>
          <w:szCs w:val="24"/>
        </w:rPr>
        <w:t xml:space="preserve"> obtuvieron los</w:t>
      </w:r>
      <w:r>
        <w:rPr>
          <w:rFonts w:ascii="Arial" w:hAnsi="Arial"/>
          <w:szCs w:val="24"/>
        </w:rPr>
        <w:t xml:space="preserve"> cristales de DapE de forma libre</w:t>
      </w:r>
      <w:r w:rsidR="00A534DE">
        <w:rPr>
          <w:rFonts w:ascii="Arial" w:hAnsi="Arial"/>
          <w:szCs w:val="24"/>
        </w:rPr>
        <w:t xml:space="preserve"> (Figura 6)</w:t>
      </w:r>
      <w:r>
        <w:rPr>
          <w:rFonts w:ascii="Arial" w:hAnsi="Arial"/>
          <w:szCs w:val="24"/>
        </w:rPr>
        <w:t xml:space="preserve"> y en compl</w:t>
      </w:r>
      <w:r w:rsidR="00A534DE">
        <w:rPr>
          <w:rFonts w:ascii="Arial" w:hAnsi="Arial"/>
          <w:szCs w:val="24"/>
        </w:rPr>
        <w:t xml:space="preserve">ejo (Figura 7) con los diferentes </w:t>
      </w:r>
      <w:proofErr w:type="spellStart"/>
      <w:r w:rsidR="00A534DE">
        <w:rPr>
          <w:rFonts w:ascii="Arial" w:hAnsi="Arial"/>
          <w:szCs w:val="24"/>
        </w:rPr>
        <w:t>ligandos</w:t>
      </w:r>
      <w:proofErr w:type="spellEnd"/>
      <w:r w:rsidR="00A534DE">
        <w:rPr>
          <w:rFonts w:ascii="Arial" w:hAnsi="Arial"/>
          <w:szCs w:val="24"/>
        </w:rPr>
        <w:t xml:space="preserve">, estos se produjeron </w:t>
      </w:r>
      <w:r>
        <w:rPr>
          <w:rFonts w:ascii="Arial" w:hAnsi="Arial"/>
          <w:szCs w:val="24"/>
        </w:rPr>
        <w:t xml:space="preserve">a partir de la técnica de gota colgante en condiciones anaeróbicas. Antes de la cristalización fueron incubadas las DapE a una concentración de 15 mg/mL con 1 mM de los </w:t>
      </w:r>
      <w:proofErr w:type="spellStart"/>
      <w:r>
        <w:rPr>
          <w:rFonts w:ascii="Arial" w:hAnsi="Arial"/>
          <w:szCs w:val="24"/>
        </w:rPr>
        <w:t>ligandos</w:t>
      </w:r>
      <w:proofErr w:type="spellEnd"/>
      <w:r>
        <w:rPr>
          <w:rFonts w:ascii="Arial" w:hAnsi="Arial"/>
          <w:szCs w:val="24"/>
        </w:rPr>
        <w:t xml:space="preserve"> (Ácido cafeíco, Ácido cumárico, Ácido gálico, Catequina, Quercetina, Disulfiram y Orfenadrina) durante 5 min por separado. Posteriormente fueron mezclados 2 </w:t>
      </w:r>
      <w:proofErr w:type="spellStart"/>
      <w:r w:rsidRPr="00474454">
        <w:rPr>
          <w:rFonts w:ascii="Arial" w:hAnsi="Arial"/>
          <w:szCs w:val="24"/>
        </w:rPr>
        <w:t>μL</w:t>
      </w:r>
      <w:proofErr w:type="spellEnd"/>
      <w:r>
        <w:rPr>
          <w:rFonts w:ascii="Arial" w:hAnsi="Arial"/>
          <w:szCs w:val="24"/>
        </w:rPr>
        <w:t xml:space="preserve"> de solución proteína-ligando con la solución de reservorio, la cual contenía </w:t>
      </w:r>
      <w:r w:rsidRPr="00F50FD7">
        <w:rPr>
          <w:rFonts w:ascii="Arial" w:hAnsi="Arial"/>
          <w:szCs w:val="24"/>
        </w:rPr>
        <w:t>8% (w/v) PEG 4000</w:t>
      </w:r>
      <w:r>
        <w:rPr>
          <w:rFonts w:ascii="Arial" w:hAnsi="Arial"/>
          <w:szCs w:val="24"/>
        </w:rPr>
        <w:t>,</w:t>
      </w:r>
      <w:r w:rsidRPr="00F50FD7">
        <w:rPr>
          <w:rFonts w:ascii="Arial" w:hAnsi="Arial"/>
          <w:szCs w:val="24"/>
        </w:rPr>
        <w:t xml:space="preserve"> 100 mM </w:t>
      </w:r>
      <w:r>
        <w:rPr>
          <w:rFonts w:ascii="Arial" w:hAnsi="Arial"/>
          <w:szCs w:val="24"/>
        </w:rPr>
        <w:t xml:space="preserve">de Acetato de sodio/HCl, </w:t>
      </w:r>
      <w:r w:rsidRPr="00F50FD7">
        <w:rPr>
          <w:rFonts w:ascii="Arial" w:hAnsi="Arial"/>
          <w:szCs w:val="24"/>
        </w:rPr>
        <w:t>pH 4.6</w:t>
      </w:r>
      <w:r>
        <w:rPr>
          <w:rFonts w:ascii="Arial" w:hAnsi="Arial"/>
          <w:szCs w:val="24"/>
        </w:rPr>
        <w:t xml:space="preserve"> (solución 13 del kit </w:t>
      </w:r>
      <w:proofErr w:type="spellStart"/>
      <w:r>
        <w:rPr>
          <w:rFonts w:ascii="Arial" w:hAnsi="Arial"/>
          <w:szCs w:val="24"/>
        </w:rPr>
        <w:t>Wizard</w:t>
      </w:r>
      <w:proofErr w:type="spellEnd"/>
      <w:r>
        <w:rPr>
          <w:rFonts w:ascii="Arial" w:hAnsi="Arial"/>
          <w:szCs w:val="24"/>
        </w:rPr>
        <w:t xml:space="preserve"> </w:t>
      </w:r>
      <w:proofErr w:type="spellStart"/>
      <w:r>
        <w:rPr>
          <w:rFonts w:ascii="Arial" w:hAnsi="Arial"/>
          <w:szCs w:val="24"/>
        </w:rPr>
        <w:t>Classic</w:t>
      </w:r>
      <w:proofErr w:type="spellEnd"/>
      <w:r>
        <w:rPr>
          <w:rFonts w:ascii="Arial" w:hAnsi="Arial"/>
          <w:szCs w:val="24"/>
        </w:rPr>
        <w:t xml:space="preserve"> 3</w:t>
      </w:r>
      <w:r w:rsidRPr="00F50FD7">
        <w:rPr>
          <w:rFonts w:ascii="Arial" w:hAnsi="Arial"/>
          <w:szCs w:val="24"/>
          <w:vertAlign w:val="superscript"/>
        </w:rPr>
        <w:t>TM</w:t>
      </w:r>
      <w:r>
        <w:rPr>
          <w:rFonts w:ascii="Arial" w:hAnsi="Arial"/>
          <w:szCs w:val="24"/>
        </w:rPr>
        <w:t xml:space="preserve">). Los cristales poseían distinta morfología y aparecieron a 18 </w:t>
      </w:r>
      <w:r>
        <w:rPr>
          <w:rFonts w:ascii="Calibri" w:hAnsi="Calibri" w:cs="Calibri"/>
          <w:szCs w:val="24"/>
        </w:rPr>
        <w:t>˚</w:t>
      </w:r>
      <w:r>
        <w:rPr>
          <w:rFonts w:ascii="Arial" w:hAnsi="Arial"/>
          <w:szCs w:val="24"/>
        </w:rPr>
        <w:t>C después de 24 h</w:t>
      </w:r>
      <w:r w:rsidR="00B24ED0">
        <w:rPr>
          <w:rFonts w:ascii="Arial" w:hAnsi="Arial"/>
          <w:szCs w:val="24"/>
        </w:rPr>
        <w:t>.</w:t>
      </w:r>
    </w:p>
    <w:p w:rsidR="00A534DE" w:rsidRDefault="00A534DE" w:rsidP="001F2F83">
      <w:pPr>
        <w:pStyle w:val="Textoindependiente"/>
        <w:spacing w:after="120"/>
        <w:jc w:val="center"/>
        <w:rPr>
          <w:rFonts w:ascii="Arial" w:hAnsi="Arial" w:cs="Arial"/>
          <w:szCs w:val="24"/>
          <w:lang w:val="es-MX"/>
        </w:rPr>
      </w:pPr>
      <w:r>
        <w:rPr>
          <w:noProof/>
          <w:lang w:val="es-MX" w:eastAsia="es-MX"/>
        </w:rPr>
        <w:drawing>
          <wp:inline distT="0" distB="0" distL="0" distR="0" wp14:anchorId="2CC7695F" wp14:editId="79222D0A">
            <wp:extent cx="5088459" cy="185006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7444" t="18423" r="7739" b="6141"/>
                    <a:stretch/>
                  </pic:blipFill>
                  <pic:spPr bwMode="auto">
                    <a:xfrm>
                      <a:off x="0" y="0"/>
                      <a:ext cx="5290784" cy="1923626"/>
                    </a:xfrm>
                    <a:prstGeom prst="rect">
                      <a:avLst/>
                    </a:prstGeom>
                    <a:ln>
                      <a:noFill/>
                    </a:ln>
                    <a:extLst>
                      <a:ext uri="{53640926-AAD7-44D8-BBD7-CCE9431645EC}">
                        <a14:shadowObscured xmlns:a14="http://schemas.microsoft.com/office/drawing/2010/main"/>
                      </a:ext>
                    </a:extLst>
                  </pic:spPr>
                </pic:pic>
              </a:graphicData>
            </a:graphic>
          </wp:inline>
        </w:drawing>
      </w:r>
    </w:p>
    <w:p w:rsidR="00A534DE" w:rsidRDefault="00A534DE" w:rsidP="00021C55">
      <w:pPr>
        <w:pStyle w:val="Textoindependiente"/>
        <w:spacing w:after="120"/>
        <w:rPr>
          <w:rFonts w:ascii="Arial" w:hAnsi="Arial" w:cs="Arial"/>
          <w:sz w:val="20"/>
          <w:szCs w:val="24"/>
          <w:lang w:val="es-MX"/>
        </w:rPr>
      </w:pPr>
      <w:r w:rsidRPr="00A534DE">
        <w:rPr>
          <w:rFonts w:ascii="Arial" w:hAnsi="Arial" w:cs="Arial"/>
          <w:b/>
          <w:sz w:val="20"/>
          <w:szCs w:val="24"/>
          <w:lang w:val="es-MX"/>
        </w:rPr>
        <w:t>Figura 6</w:t>
      </w:r>
      <w:r w:rsidRPr="00A534DE">
        <w:rPr>
          <w:rFonts w:ascii="Arial" w:hAnsi="Arial" w:cs="Arial"/>
          <w:sz w:val="20"/>
          <w:szCs w:val="24"/>
          <w:lang w:val="es-MX"/>
        </w:rPr>
        <w:t>. Cristales de las enzimas A) EcDapE, B) SaDapE, C) PaDapE y D) EfDapE libres (8% (w/v) PEG 4000 100 mM Acetato de sodio/HCl pH 4.6).</w:t>
      </w:r>
    </w:p>
    <w:p w:rsidR="0030539C" w:rsidRDefault="0030539C" w:rsidP="001F2F83">
      <w:pPr>
        <w:pStyle w:val="Textoindependiente"/>
        <w:spacing w:after="120"/>
        <w:jc w:val="center"/>
        <w:rPr>
          <w:rFonts w:ascii="Arial" w:hAnsi="Arial" w:cs="Arial"/>
          <w:sz w:val="20"/>
          <w:szCs w:val="24"/>
          <w:lang w:val="es-MX"/>
        </w:rPr>
      </w:pPr>
      <w:r>
        <w:rPr>
          <w:noProof/>
          <w:lang w:val="es-MX" w:eastAsia="es-MX"/>
        </w:rPr>
        <w:lastRenderedPageBreak/>
        <w:drawing>
          <wp:inline distT="0" distB="0" distL="0" distR="0" wp14:anchorId="0DBD05C3" wp14:editId="0D3BEE0E">
            <wp:extent cx="4236274" cy="2604977"/>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495" r="5461" b="2610"/>
                    <a:stretch/>
                  </pic:blipFill>
                  <pic:spPr bwMode="auto">
                    <a:xfrm>
                      <a:off x="0" y="0"/>
                      <a:ext cx="4251804" cy="2614527"/>
                    </a:xfrm>
                    <a:prstGeom prst="rect">
                      <a:avLst/>
                    </a:prstGeom>
                    <a:ln>
                      <a:noFill/>
                    </a:ln>
                    <a:extLst>
                      <a:ext uri="{53640926-AAD7-44D8-BBD7-CCE9431645EC}">
                        <a14:shadowObscured xmlns:a14="http://schemas.microsoft.com/office/drawing/2010/main"/>
                      </a:ext>
                    </a:extLst>
                  </pic:spPr>
                </pic:pic>
              </a:graphicData>
            </a:graphic>
          </wp:inline>
        </w:drawing>
      </w:r>
    </w:p>
    <w:p w:rsidR="0030539C" w:rsidRPr="0030539C" w:rsidRDefault="0030539C" w:rsidP="0030539C">
      <w:pPr>
        <w:pStyle w:val="Descripcin"/>
        <w:spacing w:line="360" w:lineRule="auto"/>
        <w:ind w:left="0" w:right="0"/>
        <w:rPr>
          <w:rFonts w:ascii="Arial" w:hAnsi="Arial" w:cs="Arial"/>
          <w:sz w:val="20"/>
        </w:rPr>
      </w:pPr>
      <w:bookmarkStart w:id="1" w:name="_Toc15169887"/>
      <w:r w:rsidRPr="003E432E">
        <w:rPr>
          <w:rFonts w:ascii="Arial" w:hAnsi="Arial" w:cs="Arial"/>
          <w:b/>
          <w:sz w:val="20"/>
        </w:rPr>
        <w:t>Figura</w:t>
      </w:r>
      <w:r>
        <w:rPr>
          <w:rFonts w:ascii="Arial" w:hAnsi="Arial" w:cs="Arial"/>
          <w:b/>
          <w:sz w:val="20"/>
        </w:rPr>
        <w:t xml:space="preserve"> 7</w:t>
      </w:r>
      <w:r w:rsidRPr="003E432E">
        <w:rPr>
          <w:rFonts w:ascii="Arial" w:hAnsi="Arial" w:cs="Arial"/>
          <w:sz w:val="20"/>
        </w:rPr>
        <w:t>.</w:t>
      </w:r>
      <w:r>
        <w:rPr>
          <w:rFonts w:ascii="Arial" w:hAnsi="Arial" w:cs="Arial"/>
          <w:sz w:val="20"/>
        </w:rPr>
        <w:t xml:space="preserve"> Obtención de cristales en complejo. A-F)</w:t>
      </w:r>
      <w:r w:rsidRPr="003E432E">
        <w:rPr>
          <w:rFonts w:ascii="Arial" w:hAnsi="Arial" w:cs="Arial"/>
          <w:sz w:val="20"/>
        </w:rPr>
        <w:t xml:space="preserve"> Cristales del complejo EcDapE-Fármaco</w:t>
      </w:r>
      <w:bookmarkEnd w:id="1"/>
      <w:r>
        <w:rPr>
          <w:rFonts w:ascii="Arial" w:hAnsi="Arial" w:cs="Arial"/>
          <w:sz w:val="20"/>
        </w:rPr>
        <w:t xml:space="preserve">. G-M) </w:t>
      </w:r>
      <w:r w:rsidRPr="0030539C">
        <w:rPr>
          <w:rFonts w:ascii="Arial" w:hAnsi="Arial" w:cs="Arial"/>
          <w:sz w:val="20"/>
        </w:rPr>
        <w:t>Cristales del complejo EfDapE-Fármaco</w:t>
      </w:r>
      <w:r>
        <w:rPr>
          <w:rFonts w:ascii="Arial" w:hAnsi="Arial" w:cs="Arial"/>
          <w:sz w:val="20"/>
        </w:rPr>
        <w:t>.</w:t>
      </w:r>
    </w:p>
    <w:p w:rsidR="00A534DE" w:rsidRDefault="00A534DE" w:rsidP="00A534DE">
      <w:pPr>
        <w:pStyle w:val="Textoindependiente"/>
        <w:spacing w:after="120"/>
        <w:rPr>
          <w:rFonts w:ascii="Arial" w:hAnsi="Arial"/>
          <w:szCs w:val="24"/>
        </w:rPr>
      </w:pPr>
      <w:r>
        <w:rPr>
          <w:rFonts w:ascii="Arial" w:hAnsi="Arial"/>
          <w:szCs w:val="24"/>
        </w:rPr>
        <w:t>El</w:t>
      </w:r>
      <w:r w:rsidRPr="00D95910">
        <w:rPr>
          <w:rFonts w:ascii="Arial" w:hAnsi="Arial"/>
          <w:szCs w:val="24"/>
        </w:rPr>
        <w:t xml:space="preserve"> patrón de difracción del set de datos de</w:t>
      </w:r>
      <w:r>
        <w:rPr>
          <w:rFonts w:ascii="Arial" w:hAnsi="Arial"/>
          <w:szCs w:val="24"/>
        </w:rPr>
        <w:t>l complejo</w:t>
      </w:r>
      <w:r w:rsidRPr="00D95910">
        <w:rPr>
          <w:rFonts w:ascii="Arial" w:hAnsi="Arial"/>
          <w:szCs w:val="24"/>
        </w:rPr>
        <w:t xml:space="preserve"> DapE</w:t>
      </w:r>
      <w:r>
        <w:rPr>
          <w:rFonts w:ascii="Arial" w:hAnsi="Arial"/>
          <w:szCs w:val="24"/>
        </w:rPr>
        <w:t>-Fármaco</w:t>
      </w:r>
      <w:r w:rsidRPr="00D95910">
        <w:rPr>
          <w:rFonts w:ascii="Arial" w:hAnsi="Arial"/>
          <w:szCs w:val="24"/>
        </w:rPr>
        <w:t xml:space="preserve"> a 1.75 Å </w:t>
      </w:r>
      <w:r>
        <w:rPr>
          <w:rFonts w:ascii="Arial" w:hAnsi="Arial"/>
          <w:szCs w:val="24"/>
        </w:rPr>
        <w:t>fue obtenido a</w:t>
      </w:r>
      <w:r w:rsidRPr="00D95910">
        <w:rPr>
          <w:rFonts w:ascii="Arial" w:hAnsi="Arial"/>
          <w:szCs w:val="24"/>
        </w:rPr>
        <w:t xml:space="preserve"> través de cri</w:t>
      </w:r>
      <w:r>
        <w:rPr>
          <w:rFonts w:ascii="Arial" w:hAnsi="Arial"/>
          <w:szCs w:val="24"/>
        </w:rPr>
        <w:t>stalografía de rayos X</w:t>
      </w:r>
      <w:r w:rsidRPr="00D95910">
        <w:rPr>
          <w:rFonts w:ascii="Arial" w:hAnsi="Arial"/>
          <w:szCs w:val="24"/>
        </w:rPr>
        <w:t xml:space="preserve"> en el </w:t>
      </w:r>
      <w:proofErr w:type="spellStart"/>
      <w:r w:rsidRPr="0052624F">
        <w:rPr>
          <w:rFonts w:ascii="Arial" w:hAnsi="Arial"/>
          <w:i/>
          <w:szCs w:val="24"/>
        </w:rPr>
        <w:t>Advanced</w:t>
      </w:r>
      <w:proofErr w:type="spellEnd"/>
      <w:r w:rsidRPr="0052624F">
        <w:rPr>
          <w:rFonts w:ascii="Arial" w:hAnsi="Arial"/>
          <w:i/>
          <w:szCs w:val="24"/>
        </w:rPr>
        <w:t xml:space="preserve"> </w:t>
      </w:r>
      <w:proofErr w:type="spellStart"/>
      <w:r w:rsidRPr="0052624F">
        <w:rPr>
          <w:rFonts w:ascii="Arial" w:hAnsi="Arial"/>
          <w:i/>
          <w:szCs w:val="24"/>
        </w:rPr>
        <w:t>Photon</w:t>
      </w:r>
      <w:proofErr w:type="spellEnd"/>
      <w:r w:rsidRPr="0052624F">
        <w:rPr>
          <w:rFonts w:ascii="Arial" w:hAnsi="Arial"/>
          <w:i/>
          <w:szCs w:val="24"/>
        </w:rPr>
        <w:t xml:space="preserve"> </w:t>
      </w:r>
      <w:proofErr w:type="spellStart"/>
      <w:r w:rsidRPr="0052624F">
        <w:rPr>
          <w:rFonts w:ascii="Arial" w:hAnsi="Arial"/>
          <w:i/>
          <w:szCs w:val="24"/>
        </w:rPr>
        <w:t>Source</w:t>
      </w:r>
      <w:proofErr w:type="spellEnd"/>
      <w:r w:rsidRPr="00D95910">
        <w:rPr>
          <w:rFonts w:ascii="Arial" w:hAnsi="Arial"/>
          <w:szCs w:val="24"/>
        </w:rPr>
        <w:t xml:space="preserve">, fuente de radiación sincrotrón de rayos X en el Laboratorio Nacional de </w:t>
      </w:r>
      <w:proofErr w:type="spellStart"/>
      <w:r w:rsidRPr="00D95910">
        <w:rPr>
          <w:rFonts w:ascii="Arial" w:hAnsi="Arial"/>
          <w:szCs w:val="24"/>
        </w:rPr>
        <w:t>Argonne</w:t>
      </w:r>
      <w:proofErr w:type="spellEnd"/>
      <w:r w:rsidRPr="00D95910">
        <w:rPr>
          <w:rFonts w:ascii="Arial" w:hAnsi="Arial"/>
          <w:szCs w:val="24"/>
        </w:rPr>
        <w:t xml:space="preserve"> (</w:t>
      </w:r>
      <w:r w:rsidRPr="0052624F">
        <w:rPr>
          <w:rFonts w:ascii="Arial" w:hAnsi="Arial"/>
          <w:i/>
          <w:szCs w:val="24"/>
        </w:rPr>
        <w:t>Chicago, IL, U.S.A</w:t>
      </w:r>
      <w:r w:rsidRPr="00D95910">
        <w:rPr>
          <w:rFonts w:ascii="Arial" w:hAnsi="Arial"/>
          <w:szCs w:val="24"/>
        </w:rPr>
        <w:t>).</w:t>
      </w:r>
      <w:r>
        <w:rPr>
          <w:rFonts w:ascii="Arial" w:hAnsi="Arial"/>
          <w:szCs w:val="24"/>
        </w:rPr>
        <w:t xml:space="preserve"> De los cuales fueron obtenidos cinco patrones de difracción de los complejos siguientes: EcDapE-Orfenadrina, EcDapE-Ácido gálico, EfDapE-Orfenadrina, EfDapE-Disulfiram y EfDapE-Quercetina. La difracción de los complejos radicó en los </w:t>
      </w:r>
      <w:r>
        <w:rPr>
          <w:rFonts w:ascii="Arial" w:hAnsi="Arial" w:cs="Arial"/>
          <w:szCs w:val="24"/>
        </w:rPr>
        <w:t>~</w:t>
      </w:r>
      <w:r>
        <w:rPr>
          <w:rFonts w:ascii="Arial" w:hAnsi="Arial"/>
          <w:szCs w:val="24"/>
        </w:rPr>
        <w:t>1.8</w:t>
      </w:r>
      <w:r w:rsidRPr="00D95910">
        <w:rPr>
          <w:rFonts w:ascii="Arial" w:hAnsi="Arial"/>
          <w:szCs w:val="24"/>
        </w:rPr>
        <w:t xml:space="preserve"> Å</w:t>
      </w:r>
      <w:r>
        <w:rPr>
          <w:rFonts w:ascii="Arial" w:hAnsi="Arial"/>
          <w:szCs w:val="24"/>
        </w:rPr>
        <w:t xml:space="preserve"> (Figura 8).</w:t>
      </w:r>
    </w:p>
    <w:p w:rsidR="00A534DE" w:rsidRDefault="00A534DE" w:rsidP="0030539C">
      <w:pPr>
        <w:pStyle w:val="Textoindependiente"/>
        <w:spacing w:after="120"/>
        <w:jc w:val="center"/>
        <w:rPr>
          <w:rFonts w:ascii="Arial" w:hAnsi="Arial"/>
          <w:szCs w:val="24"/>
        </w:rPr>
      </w:pPr>
      <w:r w:rsidRPr="00E23765">
        <w:rPr>
          <w:rFonts w:ascii="Arial" w:hAnsi="Arial"/>
          <w:noProof/>
          <w:szCs w:val="24"/>
          <w:lang w:val="es-MX" w:eastAsia="es-MX"/>
        </w:rPr>
        <w:drawing>
          <wp:inline distT="0" distB="0" distL="0" distR="0" wp14:anchorId="2861A082" wp14:editId="445773DE">
            <wp:extent cx="2870791" cy="1983313"/>
            <wp:effectExtent l="19050" t="19050" r="25400" b="17145"/>
            <wp:docPr id="332" name="Imagen 332" descr="C:\Users\TOSHIBA\Downloads\Difraccion D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TOSHIBA\Downloads\Difraccion DapE.jpg"/>
                    <pic:cNvPicPr>
                      <a:picLocks noChangeAspect="1" noChangeArrowheads="1"/>
                    </pic:cNvPicPr>
                  </pic:nvPicPr>
                  <pic:blipFill rotWithShape="1">
                    <a:blip r:embed="rId17" cstate="print">
                      <a:duotone>
                        <a:prstClr val="black"/>
                        <a:schemeClr val="bg1">
                          <a:lumMod val="65000"/>
                          <a:tint val="45000"/>
                          <a:satMod val="400000"/>
                        </a:schemeClr>
                      </a:duotone>
                      <a:extLst>
                        <a:ext uri="{28A0092B-C50C-407E-A947-70E740481C1C}">
                          <a14:useLocalDpi xmlns:a14="http://schemas.microsoft.com/office/drawing/2010/main" val="0"/>
                        </a:ext>
                      </a:extLst>
                    </a:blip>
                    <a:srcRect t="1747" r="2936"/>
                    <a:stretch/>
                  </pic:blipFill>
                  <pic:spPr bwMode="auto">
                    <a:xfrm>
                      <a:off x="0" y="0"/>
                      <a:ext cx="2888435" cy="1995502"/>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rsidR="00A534DE" w:rsidRPr="00A534DE" w:rsidRDefault="00A534DE" w:rsidP="00A534DE">
      <w:pPr>
        <w:pStyle w:val="Textoindependiente"/>
        <w:spacing w:after="120"/>
        <w:rPr>
          <w:rFonts w:ascii="Arial" w:hAnsi="Arial"/>
          <w:sz w:val="20"/>
          <w:szCs w:val="24"/>
        </w:rPr>
      </w:pPr>
      <w:r w:rsidRPr="00A534DE">
        <w:rPr>
          <w:rFonts w:ascii="Arial" w:hAnsi="Arial"/>
          <w:b/>
          <w:sz w:val="20"/>
          <w:szCs w:val="24"/>
        </w:rPr>
        <w:t>Figura 8</w:t>
      </w:r>
      <w:r w:rsidRPr="00A534DE">
        <w:rPr>
          <w:rFonts w:ascii="Arial" w:hAnsi="Arial"/>
          <w:sz w:val="20"/>
          <w:szCs w:val="24"/>
        </w:rPr>
        <w:t xml:space="preserve">. Imagen del patrón de difracción del set de datos del complejo DapE-Fármaco a 1.75 Å a través de cristalografía de rayos X. Obtenida en el </w:t>
      </w:r>
      <w:proofErr w:type="spellStart"/>
      <w:r w:rsidRPr="00A534DE">
        <w:rPr>
          <w:rFonts w:ascii="Arial" w:hAnsi="Arial"/>
          <w:i/>
          <w:sz w:val="20"/>
          <w:szCs w:val="24"/>
        </w:rPr>
        <w:t>Advanced</w:t>
      </w:r>
      <w:proofErr w:type="spellEnd"/>
      <w:r w:rsidRPr="00A534DE">
        <w:rPr>
          <w:rFonts w:ascii="Arial" w:hAnsi="Arial"/>
          <w:sz w:val="20"/>
          <w:szCs w:val="24"/>
        </w:rPr>
        <w:t xml:space="preserve"> </w:t>
      </w:r>
      <w:proofErr w:type="spellStart"/>
      <w:r w:rsidRPr="00A534DE">
        <w:rPr>
          <w:rFonts w:ascii="Arial" w:hAnsi="Arial"/>
          <w:i/>
          <w:sz w:val="20"/>
          <w:szCs w:val="24"/>
        </w:rPr>
        <w:t>Photon</w:t>
      </w:r>
      <w:proofErr w:type="spellEnd"/>
      <w:r w:rsidRPr="00A534DE">
        <w:rPr>
          <w:rFonts w:ascii="Arial" w:hAnsi="Arial"/>
          <w:sz w:val="20"/>
          <w:szCs w:val="24"/>
        </w:rPr>
        <w:t xml:space="preserve"> </w:t>
      </w:r>
      <w:proofErr w:type="spellStart"/>
      <w:r w:rsidRPr="00A534DE">
        <w:rPr>
          <w:rFonts w:ascii="Arial" w:hAnsi="Arial"/>
          <w:i/>
          <w:sz w:val="20"/>
          <w:szCs w:val="24"/>
        </w:rPr>
        <w:t>Source</w:t>
      </w:r>
      <w:proofErr w:type="spellEnd"/>
      <w:r w:rsidRPr="00A534DE">
        <w:rPr>
          <w:rFonts w:ascii="Arial" w:hAnsi="Arial"/>
          <w:sz w:val="20"/>
          <w:szCs w:val="24"/>
        </w:rPr>
        <w:t xml:space="preserve">, fuente de radiación sincrotrón de rayos X en el </w:t>
      </w:r>
      <w:r w:rsidRPr="00A534DE">
        <w:rPr>
          <w:rFonts w:ascii="Arial" w:hAnsi="Arial"/>
          <w:i/>
          <w:sz w:val="20"/>
          <w:szCs w:val="24"/>
        </w:rPr>
        <w:t>Laboratorio</w:t>
      </w:r>
      <w:r w:rsidRPr="00A534DE">
        <w:rPr>
          <w:rFonts w:ascii="Arial" w:hAnsi="Arial"/>
          <w:sz w:val="20"/>
          <w:szCs w:val="24"/>
        </w:rPr>
        <w:t xml:space="preserve"> </w:t>
      </w:r>
      <w:r w:rsidRPr="00A534DE">
        <w:rPr>
          <w:rFonts w:ascii="Arial" w:hAnsi="Arial"/>
          <w:i/>
          <w:sz w:val="20"/>
          <w:szCs w:val="24"/>
        </w:rPr>
        <w:t>Nacional</w:t>
      </w:r>
      <w:r w:rsidRPr="00A534DE">
        <w:rPr>
          <w:rFonts w:ascii="Arial" w:hAnsi="Arial"/>
          <w:sz w:val="20"/>
          <w:szCs w:val="24"/>
        </w:rPr>
        <w:t xml:space="preserve"> </w:t>
      </w:r>
      <w:r w:rsidRPr="00A534DE">
        <w:rPr>
          <w:rFonts w:ascii="Arial" w:hAnsi="Arial"/>
          <w:i/>
          <w:sz w:val="20"/>
          <w:szCs w:val="24"/>
        </w:rPr>
        <w:t>de</w:t>
      </w:r>
      <w:r w:rsidRPr="00A534DE">
        <w:rPr>
          <w:rFonts w:ascii="Arial" w:hAnsi="Arial"/>
          <w:sz w:val="20"/>
          <w:szCs w:val="24"/>
        </w:rPr>
        <w:t xml:space="preserve"> </w:t>
      </w:r>
      <w:proofErr w:type="spellStart"/>
      <w:r w:rsidRPr="00A534DE">
        <w:rPr>
          <w:rFonts w:ascii="Arial" w:hAnsi="Arial"/>
          <w:i/>
          <w:sz w:val="20"/>
          <w:szCs w:val="24"/>
        </w:rPr>
        <w:t>Argonne</w:t>
      </w:r>
      <w:proofErr w:type="spellEnd"/>
      <w:r w:rsidRPr="00A534DE">
        <w:rPr>
          <w:rFonts w:ascii="Arial" w:hAnsi="Arial"/>
          <w:sz w:val="20"/>
          <w:szCs w:val="24"/>
        </w:rPr>
        <w:t xml:space="preserve"> (</w:t>
      </w:r>
      <w:r w:rsidRPr="00A534DE">
        <w:rPr>
          <w:rFonts w:ascii="Arial" w:hAnsi="Arial"/>
          <w:i/>
          <w:sz w:val="20"/>
          <w:szCs w:val="24"/>
        </w:rPr>
        <w:t>Chicago, IL, U.S.A</w:t>
      </w:r>
      <w:r w:rsidRPr="00A534DE">
        <w:rPr>
          <w:rFonts w:ascii="Arial" w:hAnsi="Arial"/>
          <w:sz w:val="20"/>
          <w:szCs w:val="24"/>
        </w:rPr>
        <w:t>).</w:t>
      </w:r>
    </w:p>
    <w:p w:rsidR="00EB2B42" w:rsidRPr="005459B6" w:rsidRDefault="00EF0737" w:rsidP="00EF0737">
      <w:pPr>
        <w:pStyle w:val="Textoindependiente"/>
        <w:spacing w:after="120"/>
        <w:jc w:val="center"/>
        <w:rPr>
          <w:rFonts w:ascii="Arial" w:hAnsi="Arial" w:cs="Arial"/>
          <w:b/>
          <w:szCs w:val="24"/>
          <w:lang w:val="es-MX"/>
        </w:rPr>
      </w:pPr>
      <w:r>
        <w:rPr>
          <w:rFonts w:ascii="Arial" w:hAnsi="Arial" w:cs="Arial"/>
          <w:b/>
          <w:szCs w:val="24"/>
          <w:lang w:val="es-MX"/>
        </w:rPr>
        <w:lastRenderedPageBreak/>
        <w:t>Conclusiones</w:t>
      </w:r>
    </w:p>
    <w:p w:rsidR="0030539C" w:rsidRPr="00F708B9" w:rsidRDefault="0030539C" w:rsidP="0030539C">
      <w:pPr>
        <w:pStyle w:val="Textoindependiente"/>
        <w:spacing w:after="120"/>
        <w:rPr>
          <w:rFonts w:ascii="Arial" w:hAnsi="Arial"/>
          <w:szCs w:val="24"/>
        </w:rPr>
      </w:pPr>
      <w:r>
        <w:rPr>
          <w:rFonts w:ascii="Arial" w:hAnsi="Arial"/>
          <w:szCs w:val="24"/>
        </w:rPr>
        <w:t>En el presente trabajo se identificaron</w:t>
      </w:r>
      <w:r w:rsidRPr="00FA09E3">
        <w:rPr>
          <w:rFonts w:ascii="Arial" w:hAnsi="Arial"/>
          <w:szCs w:val="24"/>
        </w:rPr>
        <w:t xml:space="preserve"> 500 potenciales inhibidores</w:t>
      </w:r>
      <w:r>
        <w:rPr>
          <w:rFonts w:ascii="Arial" w:hAnsi="Arial"/>
          <w:szCs w:val="24"/>
        </w:rPr>
        <w:t xml:space="preserve"> de la enzima DapE</w:t>
      </w:r>
      <w:r w:rsidRPr="00FA09E3">
        <w:rPr>
          <w:rFonts w:ascii="Arial" w:hAnsi="Arial"/>
          <w:szCs w:val="24"/>
        </w:rPr>
        <w:t xml:space="preserve">, de los cuales </w:t>
      </w:r>
      <w:r>
        <w:rPr>
          <w:rFonts w:ascii="Arial" w:hAnsi="Arial"/>
          <w:szCs w:val="24"/>
        </w:rPr>
        <w:t>se seleccionaron nueve</w:t>
      </w:r>
      <w:r w:rsidR="00DD147B">
        <w:rPr>
          <w:rFonts w:ascii="Arial" w:hAnsi="Arial"/>
          <w:szCs w:val="24"/>
        </w:rPr>
        <w:t>, los cuales pueden funcionar como prometedores anti-DapE.</w:t>
      </w:r>
    </w:p>
    <w:p w:rsidR="0030539C" w:rsidRDefault="0030539C" w:rsidP="0030539C">
      <w:pPr>
        <w:pStyle w:val="Textoindependiente"/>
        <w:spacing w:after="120"/>
        <w:rPr>
          <w:rFonts w:ascii="Arial" w:hAnsi="Arial"/>
          <w:szCs w:val="24"/>
        </w:rPr>
      </w:pPr>
      <w:r>
        <w:rPr>
          <w:rFonts w:ascii="Arial" w:hAnsi="Arial"/>
          <w:szCs w:val="24"/>
        </w:rPr>
        <w:t xml:space="preserve">Se obtuvieron a las enzimas </w:t>
      </w:r>
      <w:r w:rsidR="00DD147B">
        <w:rPr>
          <w:rFonts w:ascii="Arial" w:hAnsi="Arial"/>
          <w:szCs w:val="24"/>
        </w:rPr>
        <w:t xml:space="preserve">DapE </w:t>
      </w:r>
      <w:r>
        <w:rPr>
          <w:rFonts w:ascii="Arial" w:hAnsi="Arial"/>
          <w:szCs w:val="24"/>
        </w:rPr>
        <w:t>recombinantes de manera soluble y funcional con un grado de pureza de ~99%.</w:t>
      </w:r>
    </w:p>
    <w:p w:rsidR="0030539C" w:rsidRDefault="0030539C" w:rsidP="0030539C">
      <w:pPr>
        <w:pStyle w:val="Textoindependiente"/>
        <w:spacing w:after="120"/>
        <w:rPr>
          <w:rFonts w:ascii="Arial" w:hAnsi="Arial"/>
          <w:szCs w:val="24"/>
        </w:rPr>
      </w:pPr>
      <w:r>
        <w:rPr>
          <w:rFonts w:ascii="Arial" w:hAnsi="Arial"/>
          <w:szCs w:val="24"/>
        </w:rPr>
        <w:t xml:space="preserve">Se identificaron inhibidores con complementariedad electrónica y geométrica a inhibidores importantes de DapE, siendo la Orfenadrina el mejor inhibidor para la enzima mostrando valores de </w:t>
      </w:r>
      <w:r w:rsidRPr="00047C02">
        <w:rPr>
          <w:rFonts w:ascii="Arial" w:hAnsi="Arial"/>
          <w:i/>
          <w:szCs w:val="24"/>
        </w:rPr>
        <w:t>K</w:t>
      </w:r>
      <w:r w:rsidRPr="00047C02">
        <w:rPr>
          <w:rFonts w:ascii="Arial" w:hAnsi="Arial"/>
          <w:i/>
          <w:szCs w:val="24"/>
          <w:vertAlign w:val="subscript"/>
        </w:rPr>
        <w:t>d</w:t>
      </w:r>
      <w:r>
        <w:rPr>
          <w:rFonts w:ascii="Arial" w:hAnsi="Arial"/>
          <w:szCs w:val="24"/>
        </w:rPr>
        <w:t xml:space="preserve"> 105.9 </w:t>
      </w:r>
      <w:r>
        <w:rPr>
          <w:rFonts w:ascii="Arial" w:hAnsi="Arial" w:cs="Arial"/>
          <w:szCs w:val="24"/>
        </w:rPr>
        <w:t>µ</w:t>
      </w:r>
      <w:r>
        <w:rPr>
          <w:rFonts w:ascii="Arial" w:hAnsi="Arial"/>
          <w:szCs w:val="24"/>
        </w:rPr>
        <w:t>M, una IC</w:t>
      </w:r>
      <w:r w:rsidRPr="00047C02">
        <w:rPr>
          <w:rFonts w:ascii="Arial" w:hAnsi="Arial"/>
          <w:szCs w:val="24"/>
          <w:vertAlign w:val="subscript"/>
        </w:rPr>
        <w:t>50</w:t>
      </w:r>
      <w:r>
        <w:rPr>
          <w:rFonts w:ascii="Arial" w:hAnsi="Arial"/>
          <w:szCs w:val="24"/>
        </w:rPr>
        <w:t xml:space="preserve"> de ,42.73 </w:t>
      </w:r>
      <w:r>
        <w:rPr>
          <w:rFonts w:ascii="Arial" w:hAnsi="Arial" w:cs="Arial"/>
          <w:szCs w:val="24"/>
        </w:rPr>
        <w:t>µ</w:t>
      </w:r>
      <w:r>
        <w:rPr>
          <w:rFonts w:ascii="Arial" w:hAnsi="Arial"/>
          <w:szCs w:val="24"/>
        </w:rPr>
        <w:t xml:space="preserve">M y demostró provocar un mayor cambio en la </w:t>
      </w:r>
      <w:proofErr w:type="spellStart"/>
      <w:r>
        <w:rPr>
          <w:rFonts w:ascii="Arial" w:hAnsi="Arial"/>
          <w:szCs w:val="24"/>
        </w:rPr>
        <w:t>termoestabilidad</w:t>
      </w:r>
      <w:proofErr w:type="spellEnd"/>
      <w:r>
        <w:rPr>
          <w:rFonts w:ascii="Arial" w:hAnsi="Arial"/>
          <w:szCs w:val="24"/>
        </w:rPr>
        <w:t xml:space="preserve"> de la proteína.</w:t>
      </w:r>
    </w:p>
    <w:p w:rsidR="0030539C" w:rsidRDefault="0030539C" w:rsidP="0030539C">
      <w:pPr>
        <w:pStyle w:val="Textoindependiente"/>
        <w:spacing w:after="120"/>
        <w:rPr>
          <w:rFonts w:ascii="Arial" w:hAnsi="Arial" w:cs="Arial"/>
          <w:szCs w:val="24"/>
        </w:rPr>
      </w:pPr>
      <w:r>
        <w:rPr>
          <w:rFonts w:ascii="Arial" w:hAnsi="Arial" w:cs="Arial"/>
          <w:szCs w:val="24"/>
        </w:rPr>
        <w:t xml:space="preserve">Se obtuvo la huella digital por dicroísmo circular de cada una de las cinco DapE, de las cuales </w:t>
      </w:r>
      <w:r w:rsidR="008C77DB">
        <w:rPr>
          <w:rFonts w:ascii="Arial" w:hAnsi="Arial" w:cs="Arial"/>
          <w:szCs w:val="24"/>
        </w:rPr>
        <w:t>no existen datos aún publica</w:t>
      </w:r>
      <w:r w:rsidR="00CB0162">
        <w:rPr>
          <w:rFonts w:ascii="Arial" w:hAnsi="Arial" w:cs="Arial"/>
          <w:szCs w:val="24"/>
        </w:rPr>
        <w:t>dos sobre las variantes EcDapE,</w:t>
      </w:r>
      <w:r w:rsidR="008C77DB">
        <w:rPr>
          <w:rFonts w:ascii="Arial" w:hAnsi="Arial" w:cs="Arial"/>
          <w:szCs w:val="24"/>
        </w:rPr>
        <w:t xml:space="preserve"> </w:t>
      </w:r>
      <w:r w:rsidR="00CB0162">
        <w:rPr>
          <w:rFonts w:ascii="Arial" w:hAnsi="Arial" w:cs="Arial"/>
          <w:szCs w:val="24"/>
        </w:rPr>
        <w:t xml:space="preserve">KDapE y </w:t>
      </w:r>
      <w:r w:rsidR="008C77DB">
        <w:rPr>
          <w:rFonts w:ascii="Arial" w:hAnsi="Arial" w:cs="Arial"/>
          <w:szCs w:val="24"/>
        </w:rPr>
        <w:t>PaDapE</w:t>
      </w:r>
      <w:r w:rsidR="00CB0162">
        <w:rPr>
          <w:rFonts w:ascii="Arial" w:hAnsi="Arial" w:cs="Arial"/>
          <w:szCs w:val="24"/>
        </w:rPr>
        <w:t>, EfDapE</w:t>
      </w:r>
      <w:r>
        <w:rPr>
          <w:rFonts w:ascii="Arial" w:hAnsi="Arial" w:cs="Arial"/>
          <w:szCs w:val="24"/>
        </w:rPr>
        <w:t>.</w:t>
      </w:r>
    </w:p>
    <w:p w:rsidR="0030539C" w:rsidRDefault="0030539C" w:rsidP="0030539C">
      <w:pPr>
        <w:pStyle w:val="Textoindependiente"/>
        <w:spacing w:after="120"/>
        <w:rPr>
          <w:rFonts w:ascii="Arial" w:hAnsi="Arial" w:cs="Arial"/>
          <w:szCs w:val="24"/>
        </w:rPr>
      </w:pPr>
      <w:r w:rsidRPr="00177B7D">
        <w:rPr>
          <w:rFonts w:ascii="Arial" w:hAnsi="Arial" w:cs="Arial"/>
          <w:szCs w:val="24"/>
        </w:rPr>
        <w:t>La estabilidad estructural de variantes de DapE fue determinada en su estado libre y en el contexto de fármacos con afinidad por esta enzima</w:t>
      </w:r>
      <w:r>
        <w:rPr>
          <w:rFonts w:ascii="Arial" w:hAnsi="Arial" w:cs="Arial"/>
          <w:szCs w:val="24"/>
        </w:rPr>
        <w:t xml:space="preserve">. </w:t>
      </w:r>
      <w:r w:rsidR="00CB0162">
        <w:rPr>
          <w:rFonts w:ascii="Arial" w:hAnsi="Arial" w:cs="Arial"/>
          <w:szCs w:val="24"/>
        </w:rPr>
        <w:t>S</w:t>
      </w:r>
      <w:r>
        <w:rPr>
          <w:rFonts w:ascii="Arial" w:hAnsi="Arial" w:cs="Arial"/>
          <w:szCs w:val="24"/>
        </w:rPr>
        <w:t>e demostró que l</w:t>
      </w:r>
      <w:r w:rsidR="00DD147B">
        <w:rPr>
          <w:rFonts w:ascii="Arial" w:hAnsi="Arial" w:cs="Arial"/>
          <w:szCs w:val="24"/>
        </w:rPr>
        <w:t xml:space="preserve">a Orfenadrina y Disulfiram </w:t>
      </w:r>
      <w:r>
        <w:rPr>
          <w:rFonts w:ascii="Arial" w:hAnsi="Arial" w:cs="Arial"/>
          <w:szCs w:val="24"/>
        </w:rPr>
        <w:t>son los fármacos que causan mayor desestabilización de las enzimas, fenómeno contrario que causan los Taninos.</w:t>
      </w:r>
    </w:p>
    <w:p w:rsidR="0030539C" w:rsidRDefault="0030539C" w:rsidP="0030539C">
      <w:pPr>
        <w:pStyle w:val="Textoindependiente"/>
        <w:spacing w:after="120"/>
        <w:rPr>
          <w:rFonts w:ascii="Arial" w:hAnsi="Arial" w:cs="Arial"/>
          <w:szCs w:val="24"/>
        </w:rPr>
      </w:pPr>
      <w:r>
        <w:rPr>
          <w:rFonts w:ascii="Arial" w:hAnsi="Arial" w:cs="Arial"/>
          <w:szCs w:val="24"/>
        </w:rPr>
        <w:t>Se estandarizaron condiciones de cristalización para cuatro de las cinco enzimas DapE, así como para dos de ellas en complejo con los diferentes inhibidores.</w:t>
      </w:r>
    </w:p>
    <w:p w:rsidR="00681235" w:rsidRPr="00DD147B" w:rsidRDefault="0030539C" w:rsidP="00EB2B42">
      <w:pPr>
        <w:pStyle w:val="Textoindependiente"/>
        <w:spacing w:after="120"/>
        <w:rPr>
          <w:rFonts w:ascii="Arial" w:hAnsi="Arial"/>
          <w:szCs w:val="24"/>
        </w:rPr>
      </w:pPr>
      <w:r>
        <w:rPr>
          <w:rFonts w:ascii="Arial" w:hAnsi="Arial"/>
          <w:szCs w:val="24"/>
        </w:rPr>
        <w:t xml:space="preserve">Fueron obtenidos cinco patrones de difracción de los complejos siguientes: EcDapE-Orfenadrina, EcDapE-Ácido gálico, EfDapE-Orfenadrina, EfDapE-Disulfiram y EfDapE-Quercetina a </w:t>
      </w:r>
      <w:r>
        <w:rPr>
          <w:rFonts w:ascii="Arial" w:hAnsi="Arial" w:cs="Arial"/>
          <w:szCs w:val="24"/>
        </w:rPr>
        <w:t>~</w:t>
      </w:r>
      <w:r>
        <w:rPr>
          <w:rFonts w:ascii="Arial" w:hAnsi="Arial"/>
          <w:szCs w:val="24"/>
        </w:rPr>
        <w:t>1.8</w:t>
      </w:r>
      <w:r w:rsidRPr="00D95910">
        <w:rPr>
          <w:rFonts w:ascii="Arial" w:hAnsi="Arial"/>
          <w:szCs w:val="24"/>
        </w:rPr>
        <w:t xml:space="preserve"> Å</w:t>
      </w:r>
      <w:r>
        <w:rPr>
          <w:rFonts w:ascii="Arial" w:hAnsi="Arial"/>
          <w:szCs w:val="24"/>
        </w:rPr>
        <w:t>.</w:t>
      </w:r>
    </w:p>
    <w:p w:rsidR="00CC6FAE" w:rsidRDefault="00CC6FAE" w:rsidP="00C7378F">
      <w:pPr>
        <w:pStyle w:val="Textoindependiente"/>
        <w:spacing w:after="120"/>
        <w:jc w:val="center"/>
        <w:rPr>
          <w:rFonts w:ascii="Arial" w:hAnsi="Arial" w:cs="Arial"/>
          <w:b/>
          <w:szCs w:val="24"/>
          <w:lang w:val="es-MX"/>
        </w:rPr>
      </w:pPr>
    </w:p>
    <w:p w:rsidR="00CC6FAE" w:rsidRDefault="00CC6FAE" w:rsidP="00C7378F">
      <w:pPr>
        <w:pStyle w:val="Textoindependiente"/>
        <w:spacing w:after="120"/>
        <w:jc w:val="center"/>
        <w:rPr>
          <w:rFonts w:ascii="Arial" w:hAnsi="Arial" w:cs="Arial"/>
          <w:b/>
          <w:szCs w:val="24"/>
          <w:lang w:val="es-MX"/>
        </w:rPr>
      </w:pPr>
    </w:p>
    <w:p w:rsidR="00CC6FAE" w:rsidRDefault="00CC6FAE" w:rsidP="00C7378F">
      <w:pPr>
        <w:pStyle w:val="Textoindependiente"/>
        <w:spacing w:after="120"/>
        <w:jc w:val="center"/>
        <w:rPr>
          <w:rFonts w:ascii="Arial" w:hAnsi="Arial" w:cs="Arial"/>
          <w:b/>
          <w:szCs w:val="24"/>
          <w:lang w:val="es-MX"/>
        </w:rPr>
      </w:pPr>
    </w:p>
    <w:p w:rsidR="00CC6FAE" w:rsidRDefault="00CC6FAE" w:rsidP="00C7378F">
      <w:pPr>
        <w:pStyle w:val="Textoindependiente"/>
        <w:spacing w:after="120"/>
        <w:jc w:val="center"/>
        <w:rPr>
          <w:rFonts w:ascii="Arial" w:hAnsi="Arial" w:cs="Arial"/>
          <w:b/>
          <w:szCs w:val="24"/>
          <w:lang w:val="es-MX"/>
        </w:rPr>
      </w:pPr>
    </w:p>
    <w:p w:rsidR="00CC6FAE" w:rsidRDefault="00CC6FAE" w:rsidP="00C7378F">
      <w:pPr>
        <w:pStyle w:val="Textoindependiente"/>
        <w:spacing w:after="120"/>
        <w:jc w:val="center"/>
        <w:rPr>
          <w:rFonts w:ascii="Arial" w:hAnsi="Arial" w:cs="Arial"/>
          <w:b/>
          <w:szCs w:val="24"/>
          <w:lang w:val="es-MX"/>
        </w:rPr>
      </w:pPr>
    </w:p>
    <w:p w:rsidR="00EB2B42" w:rsidRPr="00C7378F" w:rsidRDefault="00EB2B42" w:rsidP="00C7378F">
      <w:pPr>
        <w:pStyle w:val="Textoindependiente"/>
        <w:spacing w:after="120"/>
        <w:jc w:val="center"/>
        <w:rPr>
          <w:rFonts w:ascii="Arial" w:hAnsi="Arial" w:cs="Arial"/>
          <w:b/>
          <w:szCs w:val="24"/>
          <w:lang w:val="es-MX"/>
        </w:rPr>
      </w:pPr>
      <w:r w:rsidRPr="00C7378F">
        <w:rPr>
          <w:rFonts w:ascii="Arial" w:hAnsi="Arial" w:cs="Arial"/>
          <w:b/>
          <w:szCs w:val="24"/>
          <w:lang w:val="es-MX"/>
        </w:rPr>
        <w:lastRenderedPageBreak/>
        <w:t>Referencias</w:t>
      </w:r>
    </w:p>
    <w:p w:rsidR="00C7378F" w:rsidRPr="00C7378F" w:rsidRDefault="00C7378F" w:rsidP="00C7378F">
      <w:pPr>
        <w:pStyle w:val="Bibliografa"/>
        <w:ind w:left="720" w:hanging="720"/>
        <w:jc w:val="both"/>
        <w:rPr>
          <w:rFonts w:ascii="Arial" w:hAnsi="Arial" w:cs="Arial"/>
          <w:noProof/>
          <w:sz w:val="24"/>
          <w:szCs w:val="24"/>
          <w:lang w:val="en-US"/>
        </w:rPr>
      </w:pPr>
      <w:r w:rsidRPr="00C7378F">
        <w:rPr>
          <w:rFonts w:ascii="Arial" w:hAnsi="Arial" w:cs="Arial"/>
          <w:sz w:val="24"/>
          <w:szCs w:val="24"/>
        </w:rPr>
        <w:fldChar w:fldCharType="begin"/>
      </w:r>
      <w:r w:rsidRPr="00782EC7">
        <w:rPr>
          <w:rFonts w:ascii="Arial" w:hAnsi="Arial" w:cs="Arial"/>
          <w:sz w:val="24"/>
          <w:szCs w:val="24"/>
        </w:rPr>
        <w:instrText xml:space="preserve"> BIBLIOGRAPHY  \l 2058 </w:instrText>
      </w:r>
      <w:r w:rsidRPr="00C7378F">
        <w:rPr>
          <w:rFonts w:ascii="Arial" w:hAnsi="Arial" w:cs="Arial"/>
          <w:sz w:val="24"/>
          <w:szCs w:val="24"/>
        </w:rPr>
        <w:fldChar w:fldCharType="separate"/>
      </w:r>
      <w:r w:rsidRPr="00782EC7">
        <w:rPr>
          <w:rFonts w:ascii="Arial" w:hAnsi="Arial" w:cs="Arial"/>
          <w:noProof/>
          <w:sz w:val="24"/>
          <w:szCs w:val="24"/>
        </w:rPr>
        <w:t xml:space="preserve">Alcorlo, M. M.-C. (2017). </w:t>
      </w:r>
      <w:r w:rsidRPr="00C7378F">
        <w:rPr>
          <w:rFonts w:ascii="Arial" w:hAnsi="Arial" w:cs="Arial"/>
          <w:noProof/>
          <w:sz w:val="24"/>
          <w:szCs w:val="24"/>
          <w:lang w:val="en-US"/>
        </w:rPr>
        <w:t xml:space="preserve">Carbohydrate recognition and lysis by bacterial peptidoglycan hydrolases. </w:t>
      </w:r>
      <w:r w:rsidRPr="00C7378F">
        <w:rPr>
          <w:rFonts w:ascii="Arial" w:hAnsi="Arial" w:cs="Arial"/>
          <w:i/>
          <w:iCs/>
          <w:noProof/>
          <w:sz w:val="24"/>
          <w:szCs w:val="24"/>
          <w:lang w:val="en-US"/>
        </w:rPr>
        <w:t>Current Opinion in Structural Biology</w:t>
      </w:r>
      <w:r w:rsidRPr="00C7378F">
        <w:rPr>
          <w:rFonts w:ascii="Arial" w:hAnsi="Arial" w:cs="Arial"/>
          <w:noProof/>
          <w:sz w:val="24"/>
          <w:szCs w:val="24"/>
          <w:lang w:val="en-US"/>
        </w:rPr>
        <w:t>, 87-100.</w:t>
      </w:r>
    </w:p>
    <w:p w:rsidR="00C7378F" w:rsidRPr="00C7378F" w:rsidRDefault="00C7378F" w:rsidP="00C7378F">
      <w:pPr>
        <w:pStyle w:val="Bibliografa"/>
        <w:ind w:left="720" w:hanging="720"/>
        <w:jc w:val="both"/>
        <w:rPr>
          <w:rFonts w:ascii="Arial" w:hAnsi="Arial" w:cs="Arial"/>
          <w:noProof/>
          <w:sz w:val="24"/>
          <w:szCs w:val="24"/>
          <w:lang w:val="en-US"/>
        </w:rPr>
      </w:pPr>
      <w:r w:rsidRPr="00C7378F">
        <w:rPr>
          <w:rFonts w:ascii="Arial" w:hAnsi="Arial" w:cs="Arial"/>
          <w:noProof/>
          <w:sz w:val="24"/>
          <w:szCs w:val="24"/>
          <w:lang w:val="en-US"/>
        </w:rPr>
        <w:t xml:space="preserve">Bienvenue, D. G. (2003). Substrate Specificity, Metal Binding Properties, and Spectroscopic Characterization of the DapE-Encoded N-Succinyl-l,l-Diaminopimelic Acid Desuccinylase from Haemophilus influenzae. </w:t>
      </w:r>
      <w:r w:rsidRPr="00C7378F">
        <w:rPr>
          <w:rFonts w:ascii="Arial" w:hAnsi="Arial" w:cs="Arial"/>
          <w:i/>
          <w:iCs/>
          <w:noProof/>
          <w:sz w:val="24"/>
          <w:szCs w:val="24"/>
          <w:lang w:val="en-US"/>
        </w:rPr>
        <w:t>Biochemistry</w:t>
      </w:r>
      <w:r w:rsidRPr="00C7378F">
        <w:rPr>
          <w:rFonts w:ascii="Arial" w:hAnsi="Arial" w:cs="Arial"/>
          <w:noProof/>
          <w:sz w:val="24"/>
          <w:szCs w:val="24"/>
          <w:lang w:val="en-US"/>
        </w:rPr>
        <w:t>, 10756-10763.</w:t>
      </w:r>
    </w:p>
    <w:p w:rsidR="00C7378F" w:rsidRPr="00C7378F" w:rsidRDefault="00C7378F" w:rsidP="00C7378F">
      <w:pPr>
        <w:pStyle w:val="Bibliografa"/>
        <w:ind w:left="720" w:hanging="720"/>
        <w:jc w:val="both"/>
        <w:rPr>
          <w:rFonts w:ascii="Arial" w:hAnsi="Arial" w:cs="Arial"/>
          <w:noProof/>
          <w:sz w:val="24"/>
          <w:szCs w:val="24"/>
        </w:rPr>
      </w:pPr>
      <w:r w:rsidRPr="00C7378F">
        <w:rPr>
          <w:rFonts w:ascii="Arial" w:hAnsi="Arial" w:cs="Arial"/>
          <w:noProof/>
          <w:sz w:val="24"/>
          <w:szCs w:val="24"/>
          <w:lang w:val="en-US"/>
        </w:rPr>
        <w:t xml:space="preserve">Born, T. L. (1999). Structure/function studies on enzymes in the diaminopimelate pathway of bacterial cell wall biosynthesis. </w:t>
      </w:r>
      <w:r w:rsidRPr="00C7378F">
        <w:rPr>
          <w:rFonts w:ascii="Arial" w:hAnsi="Arial" w:cs="Arial"/>
          <w:i/>
          <w:iCs/>
          <w:noProof/>
          <w:sz w:val="24"/>
          <w:szCs w:val="24"/>
        </w:rPr>
        <w:t>Current Opinion in Chemical Biology</w:t>
      </w:r>
      <w:r w:rsidRPr="00C7378F">
        <w:rPr>
          <w:rFonts w:ascii="Arial" w:hAnsi="Arial" w:cs="Arial"/>
          <w:noProof/>
          <w:sz w:val="24"/>
          <w:szCs w:val="24"/>
        </w:rPr>
        <w:t>, 607-613.</w:t>
      </w:r>
    </w:p>
    <w:p w:rsidR="00C7378F" w:rsidRPr="00C7378F" w:rsidRDefault="00C7378F" w:rsidP="00C7378F">
      <w:pPr>
        <w:pStyle w:val="Bibliografa"/>
        <w:ind w:left="720" w:hanging="720"/>
        <w:jc w:val="both"/>
        <w:rPr>
          <w:rFonts w:ascii="Arial" w:hAnsi="Arial" w:cs="Arial"/>
          <w:noProof/>
          <w:sz w:val="24"/>
          <w:szCs w:val="24"/>
        </w:rPr>
      </w:pPr>
      <w:r w:rsidRPr="00C7378F">
        <w:rPr>
          <w:rFonts w:ascii="Arial" w:hAnsi="Arial" w:cs="Arial"/>
          <w:noProof/>
          <w:sz w:val="24"/>
          <w:szCs w:val="24"/>
        </w:rPr>
        <w:t xml:space="preserve">Castañeda-Breceda, I. (2017). Aspectos estructurales y funcionales de la inhibici{on de la enzima desuccinilasa DAPE del ácido diaminopimélico de Escherichia coli patógena. </w:t>
      </w:r>
      <w:r w:rsidRPr="00C7378F">
        <w:rPr>
          <w:rFonts w:ascii="Arial" w:hAnsi="Arial" w:cs="Arial"/>
          <w:i/>
          <w:iCs/>
          <w:noProof/>
          <w:sz w:val="24"/>
          <w:szCs w:val="24"/>
        </w:rPr>
        <w:t>Tesis de Maestría en Ciencias Orientación en Genómica</w:t>
      </w:r>
      <w:r w:rsidRPr="00C7378F">
        <w:rPr>
          <w:rFonts w:ascii="Arial" w:hAnsi="Arial" w:cs="Arial"/>
          <w:noProof/>
          <w:sz w:val="24"/>
          <w:szCs w:val="24"/>
        </w:rPr>
        <w:t>, 49.</w:t>
      </w:r>
    </w:p>
    <w:p w:rsidR="00C7378F" w:rsidRPr="00C7378F" w:rsidRDefault="00C7378F" w:rsidP="00C7378F">
      <w:pPr>
        <w:pStyle w:val="Bibliografa"/>
        <w:ind w:left="720" w:hanging="720"/>
        <w:jc w:val="both"/>
        <w:rPr>
          <w:rFonts w:ascii="Arial" w:hAnsi="Arial" w:cs="Arial"/>
          <w:noProof/>
          <w:sz w:val="24"/>
          <w:szCs w:val="24"/>
          <w:lang w:val="en-US"/>
        </w:rPr>
      </w:pPr>
      <w:r w:rsidRPr="00C738D1">
        <w:rPr>
          <w:rFonts w:ascii="Arial" w:hAnsi="Arial" w:cs="Arial"/>
          <w:noProof/>
          <w:sz w:val="24"/>
          <w:szCs w:val="24"/>
          <w:lang w:val="en-US"/>
        </w:rPr>
        <w:t xml:space="preserve">Dramsi, S. M. (2008). </w:t>
      </w:r>
      <w:r w:rsidRPr="00C7378F">
        <w:rPr>
          <w:rFonts w:ascii="Arial" w:hAnsi="Arial" w:cs="Arial"/>
          <w:noProof/>
          <w:sz w:val="24"/>
          <w:szCs w:val="24"/>
          <w:lang w:val="en-US"/>
        </w:rPr>
        <w:t xml:space="preserve">Covalent attachment of proteins to peptidoglycan. </w:t>
      </w:r>
      <w:r w:rsidRPr="00C7378F">
        <w:rPr>
          <w:rFonts w:ascii="Arial" w:hAnsi="Arial" w:cs="Arial"/>
          <w:i/>
          <w:iCs/>
          <w:noProof/>
          <w:sz w:val="24"/>
          <w:szCs w:val="24"/>
          <w:lang w:val="en-US"/>
        </w:rPr>
        <w:t>FEMS Microbiology Reviews</w:t>
      </w:r>
      <w:r w:rsidRPr="00C7378F">
        <w:rPr>
          <w:rFonts w:ascii="Arial" w:hAnsi="Arial" w:cs="Arial"/>
          <w:noProof/>
          <w:sz w:val="24"/>
          <w:szCs w:val="24"/>
          <w:lang w:val="en-US"/>
        </w:rPr>
        <w:t>, 307-320.</w:t>
      </w:r>
    </w:p>
    <w:p w:rsidR="00C7378F" w:rsidRPr="00C7378F" w:rsidRDefault="00C7378F" w:rsidP="00C7378F">
      <w:pPr>
        <w:pStyle w:val="Bibliografa"/>
        <w:ind w:left="720" w:hanging="720"/>
        <w:jc w:val="both"/>
        <w:rPr>
          <w:rFonts w:ascii="Arial" w:hAnsi="Arial" w:cs="Arial"/>
          <w:noProof/>
          <w:sz w:val="24"/>
          <w:szCs w:val="24"/>
          <w:lang w:val="en-US"/>
        </w:rPr>
      </w:pPr>
      <w:r w:rsidRPr="00C7378F">
        <w:rPr>
          <w:rFonts w:ascii="Arial" w:hAnsi="Arial" w:cs="Arial"/>
          <w:noProof/>
          <w:sz w:val="24"/>
          <w:szCs w:val="24"/>
          <w:lang w:val="en-US"/>
        </w:rPr>
        <w:t xml:space="preserve">Gillner, D. B., &amp; Holz, R. (2009). The dapE-encoded N-succinyl-L,L-Diaminopimelic Acid Desuccinylase from Haemophilus influenzae Contains two Active Site Histidine Residues. </w:t>
      </w:r>
      <w:r w:rsidRPr="00C7378F">
        <w:rPr>
          <w:rFonts w:ascii="Arial" w:hAnsi="Arial" w:cs="Arial"/>
          <w:i/>
          <w:iCs/>
          <w:noProof/>
          <w:sz w:val="24"/>
          <w:szCs w:val="24"/>
          <w:lang w:val="en-US"/>
        </w:rPr>
        <w:t>Journal of Biological Inorganic Chemistry</w:t>
      </w:r>
      <w:r w:rsidRPr="00C7378F">
        <w:rPr>
          <w:rFonts w:ascii="Arial" w:hAnsi="Arial" w:cs="Arial"/>
          <w:noProof/>
          <w:sz w:val="24"/>
          <w:szCs w:val="24"/>
          <w:lang w:val="en-US"/>
        </w:rPr>
        <w:t>, 1-10.</w:t>
      </w:r>
    </w:p>
    <w:p w:rsidR="00C7378F" w:rsidRPr="00C7378F" w:rsidRDefault="00C7378F" w:rsidP="00C7378F">
      <w:pPr>
        <w:pStyle w:val="Bibliografa"/>
        <w:ind w:left="720" w:hanging="720"/>
        <w:jc w:val="both"/>
        <w:rPr>
          <w:rFonts w:ascii="Arial" w:hAnsi="Arial" w:cs="Arial"/>
          <w:noProof/>
          <w:sz w:val="24"/>
          <w:szCs w:val="24"/>
          <w:lang w:val="en-US"/>
        </w:rPr>
      </w:pPr>
      <w:r w:rsidRPr="00C7378F">
        <w:rPr>
          <w:rFonts w:ascii="Arial" w:hAnsi="Arial" w:cs="Arial"/>
          <w:noProof/>
          <w:sz w:val="24"/>
          <w:szCs w:val="24"/>
          <w:lang w:val="en-US"/>
        </w:rPr>
        <w:t xml:space="preserve">Gillner, D. B., &amp; Holz, R. (2013). Lysine biosynthesis in bacteria: a metallodesuccinylase as a potential antimicrobial target. </w:t>
      </w:r>
      <w:r w:rsidRPr="00C7378F">
        <w:rPr>
          <w:rFonts w:ascii="Arial" w:hAnsi="Arial" w:cs="Arial"/>
          <w:i/>
          <w:iCs/>
          <w:noProof/>
          <w:sz w:val="24"/>
          <w:szCs w:val="24"/>
          <w:lang w:val="en-US"/>
        </w:rPr>
        <w:t>JBIC Journal of Biological Inorganic Chemistry</w:t>
      </w:r>
      <w:r w:rsidRPr="00C7378F">
        <w:rPr>
          <w:rFonts w:ascii="Arial" w:hAnsi="Arial" w:cs="Arial"/>
          <w:noProof/>
          <w:sz w:val="24"/>
          <w:szCs w:val="24"/>
          <w:lang w:val="en-US"/>
        </w:rPr>
        <w:t>.</w:t>
      </w:r>
    </w:p>
    <w:p w:rsidR="00C7378F" w:rsidRPr="00C7378F" w:rsidRDefault="00C7378F" w:rsidP="00C7378F">
      <w:pPr>
        <w:pStyle w:val="Bibliografa"/>
        <w:ind w:left="720" w:hanging="720"/>
        <w:jc w:val="both"/>
        <w:rPr>
          <w:rFonts w:ascii="Arial" w:hAnsi="Arial" w:cs="Arial"/>
          <w:noProof/>
          <w:sz w:val="24"/>
          <w:szCs w:val="24"/>
          <w:lang w:val="en-US"/>
        </w:rPr>
      </w:pPr>
      <w:r w:rsidRPr="00C7378F">
        <w:rPr>
          <w:rFonts w:ascii="Arial" w:hAnsi="Arial" w:cs="Arial"/>
          <w:noProof/>
          <w:sz w:val="24"/>
          <w:szCs w:val="24"/>
          <w:lang w:val="en-US"/>
        </w:rPr>
        <w:t xml:space="preserve">Huynh, K. a. (2015). Current Protocols in Protein Science: Analysis of protein stability and ligand interactions by thermal shift assay. </w:t>
      </w:r>
      <w:r w:rsidRPr="00C7378F">
        <w:rPr>
          <w:rFonts w:ascii="Arial" w:hAnsi="Arial" w:cs="Arial"/>
          <w:i/>
          <w:iCs/>
          <w:noProof/>
          <w:sz w:val="24"/>
          <w:szCs w:val="24"/>
          <w:lang w:val="en-US"/>
        </w:rPr>
        <w:t xml:space="preserve">Current Protocols in Protein Science </w:t>
      </w:r>
      <w:r w:rsidRPr="00C7378F">
        <w:rPr>
          <w:rFonts w:ascii="Arial" w:hAnsi="Arial" w:cs="Arial"/>
          <w:noProof/>
          <w:sz w:val="24"/>
          <w:szCs w:val="24"/>
          <w:lang w:val="en-US"/>
        </w:rPr>
        <w:t>, 79.</w:t>
      </w:r>
    </w:p>
    <w:p w:rsidR="00C7378F" w:rsidRPr="00C7378F" w:rsidRDefault="00C7378F" w:rsidP="00C7378F">
      <w:pPr>
        <w:pStyle w:val="Bibliografa"/>
        <w:ind w:left="720" w:hanging="720"/>
        <w:jc w:val="both"/>
        <w:rPr>
          <w:rFonts w:ascii="Arial" w:hAnsi="Arial" w:cs="Arial"/>
          <w:noProof/>
          <w:sz w:val="24"/>
          <w:szCs w:val="24"/>
          <w:lang w:val="en-US"/>
        </w:rPr>
      </w:pPr>
      <w:r w:rsidRPr="00C7378F">
        <w:rPr>
          <w:rFonts w:ascii="Arial" w:hAnsi="Arial" w:cs="Arial"/>
          <w:noProof/>
          <w:sz w:val="24"/>
          <w:szCs w:val="24"/>
          <w:lang w:val="en-US"/>
        </w:rPr>
        <w:t xml:space="preserve">Karita, M. E. (1997). Characterization of Helicobacter pylori dapE and construction of a conditionally lethal dapE mutant. </w:t>
      </w:r>
      <w:r w:rsidRPr="00C7378F">
        <w:rPr>
          <w:rFonts w:ascii="Arial" w:hAnsi="Arial" w:cs="Arial"/>
          <w:i/>
          <w:iCs/>
          <w:noProof/>
          <w:sz w:val="24"/>
          <w:szCs w:val="24"/>
          <w:lang w:val="en-US"/>
        </w:rPr>
        <w:t>Infection and Immunity</w:t>
      </w:r>
      <w:r w:rsidRPr="00C7378F">
        <w:rPr>
          <w:rFonts w:ascii="Arial" w:hAnsi="Arial" w:cs="Arial"/>
          <w:noProof/>
          <w:sz w:val="24"/>
          <w:szCs w:val="24"/>
          <w:lang w:val="en-US"/>
        </w:rPr>
        <w:t>.</w:t>
      </w:r>
    </w:p>
    <w:p w:rsidR="00C7378F" w:rsidRPr="00C7378F" w:rsidRDefault="00C7378F" w:rsidP="00C7378F">
      <w:pPr>
        <w:pStyle w:val="Bibliografa"/>
        <w:ind w:left="720" w:hanging="720"/>
        <w:jc w:val="both"/>
        <w:rPr>
          <w:rFonts w:ascii="Arial" w:hAnsi="Arial" w:cs="Arial"/>
          <w:noProof/>
          <w:sz w:val="24"/>
          <w:szCs w:val="24"/>
          <w:lang w:val="en-US"/>
        </w:rPr>
      </w:pPr>
      <w:r w:rsidRPr="00C7378F">
        <w:rPr>
          <w:rFonts w:ascii="Arial" w:hAnsi="Arial" w:cs="Arial"/>
          <w:noProof/>
          <w:sz w:val="24"/>
          <w:szCs w:val="24"/>
          <w:lang w:val="en-US"/>
        </w:rPr>
        <w:t xml:space="preserve">Paphitou, N. (2013). Antimicrobial resistance: Action to combat the rising microbial challenges. </w:t>
      </w:r>
      <w:r w:rsidRPr="00C7378F">
        <w:rPr>
          <w:rFonts w:ascii="Arial" w:hAnsi="Arial" w:cs="Arial"/>
          <w:i/>
          <w:iCs/>
          <w:noProof/>
          <w:sz w:val="24"/>
          <w:szCs w:val="24"/>
          <w:lang w:val="en-US"/>
        </w:rPr>
        <w:t>International Journal of Antimicrobial Agents</w:t>
      </w:r>
      <w:r w:rsidRPr="00C7378F">
        <w:rPr>
          <w:rFonts w:ascii="Arial" w:hAnsi="Arial" w:cs="Arial"/>
          <w:noProof/>
          <w:sz w:val="24"/>
          <w:szCs w:val="24"/>
          <w:lang w:val="en-US"/>
        </w:rPr>
        <w:t>.</w:t>
      </w:r>
    </w:p>
    <w:p w:rsidR="00C7378F" w:rsidRPr="00C7378F" w:rsidRDefault="00C7378F" w:rsidP="00C7378F">
      <w:pPr>
        <w:pStyle w:val="Bibliografa"/>
        <w:ind w:left="720" w:hanging="720"/>
        <w:jc w:val="both"/>
        <w:rPr>
          <w:rFonts w:ascii="Arial" w:hAnsi="Arial" w:cs="Arial"/>
          <w:noProof/>
          <w:sz w:val="24"/>
          <w:szCs w:val="24"/>
          <w:lang w:val="en-US"/>
        </w:rPr>
      </w:pPr>
      <w:r w:rsidRPr="00C7378F">
        <w:rPr>
          <w:rFonts w:ascii="Arial" w:hAnsi="Arial" w:cs="Arial"/>
          <w:noProof/>
          <w:sz w:val="24"/>
          <w:szCs w:val="24"/>
          <w:lang w:val="en-US"/>
        </w:rPr>
        <w:t xml:space="preserve">Starus, A. N.-L.-G. (2016). Inhibition of the dapE-Encoded N-Succinyl-L,L-diaminopimelic Acid Desuccinylase from Neisseria meningitidis by L-Captopril. </w:t>
      </w:r>
      <w:r w:rsidRPr="00C7378F">
        <w:rPr>
          <w:rFonts w:ascii="Arial" w:hAnsi="Arial" w:cs="Arial"/>
          <w:i/>
          <w:iCs/>
          <w:noProof/>
          <w:sz w:val="24"/>
          <w:szCs w:val="24"/>
          <w:lang w:val="en-US"/>
        </w:rPr>
        <w:t>Biochemistry</w:t>
      </w:r>
      <w:r w:rsidRPr="00C7378F">
        <w:rPr>
          <w:rFonts w:ascii="Arial" w:hAnsi="Arial" w:cs="Arial"/>
          <w:noProof/>
          <w:sz w:val="24"/>
          <w:szCs w:val="24"/>
          <w:lang w:val="en-US"/>
        </w:rPr>
        <w:t>, 4834-4844.</w:t>
      </w:r>
    </w:p>
    <w:p w:rsidR="00C7378F" w:rsidRPr="00C7378F" w:rsidRDefault="00C7378F" w:rsidP="00C7378F">
      <w:pPr>
        <w:pStyle w:val="Bibliografa"/>
        <w:ind w:left="720" w:hanging="720"/>
        <w:jc w:val="both"/>
        <w:rPr>
          <w:rFonts w:ascii="Arial" w:hAnsi="Arial" w:cs="Arial"/>
          <w:noProof/>
          <w:sz w:val="24"/>
          <w:szCs w:val="24"/>
          <w:lang w:val="en-US"/>
        </w:rPr>
      </w:pPr>
      <w:r w:rsidRPr="00C7378F">
        <w:rPr>
          <w:rFonts w:ascii="Arial" w:hAnsi="Arial" w:cs="Arial"/>
          <w:noProof/>
          <w:sz w:val="24"/>
          <w:szCs w:val="24"/>
          <w:lang w:val="en-US"/>
        </w:rPr>
        <w:t xml:space="preserve">Vollmer, W. B. (2008). Peptidoglycan structure and architecture. </w:t>
      </w:r>
      <w:r w:rsidRPr="00C7378F">
        <w:rPr>
          <w:rFonts w:ascii="Arial" w:hAnsi="Arial" w:cs="Arial"/>
          <w:i/>
          <w:iCs/>
          <w:noProof/>
          <w:sz w:val="24"/>
          <w:szCs w:val="24"/>
          <w:lang w:val="en-US"/>
        </w:rPr>
        <w:t>FEMS Microbiology Reviews</w:t>
      </w:r>
      <w:r w:rsidRPr="00C7378F">
        <w:rPr>
          <w:rFonts w:ascii="Arial" w:hAnsi="Arial" w:cs="Arial"/>
          <w:noProof/>
          <w:sz w:val="24"/>
          <w:szCs w:val="24"/>
          <w:lang w:val="en-US"/>
        </w:rPr>
        <w:t>, 149-167.</w:t>
      </w:r>
    </w:p>
    <w:p w:rsidR="00C738D1" w:rsidRDefault="00C7378F" w:rsidP="00782EC7">
      <w:pPr>
        <w:pStyle w:val="Textoindependiente"/>
        <w:spacing w:after="120"/>
        <w:rPr>
          <w:rFonts w:ascii="Arial" w:hAnsi="Arial" w:cs="Arial"/>
          <w:b/>
          <w:szCs w:val="24"/>
          <w:lang w:val="es-MX"/>
        </w:rPr>
      </w:pPr>
      <w:r w:rsidRPr="00C7378F">
        <w:rPr>
          <w:rFonts w:ascii="Arial" w:hAnsi="Arial" w:cs="Arial"/>
          <w:szCs w:val="24"/>
          <w:lang w:val="es-MX"/>
        </w:rPr>
        <w:fldChar w:fldCharType="end"/>
      </w:r>
      <w:r w:rsidR="00A73542" w:rsidRPr="00A73542">
        <w:rPr>
          <w:rFonts w:ascii="Arial" w:hAnsi="Arial" w:cs="Arial"/>
          <w:b/>
          <w:szCs w:val="24"/>
          <w:lang w:val="es-MX"/>
        </w:rPr>
        <w:t xml:space="preserve">Egresado del programa Maestría en Ciencias Orientación Genómica </w:t>
      </w:r>
    </w:p>
    <w:p w:rsidR="00CF3927" w:rsidRPr="00A73542" w:rsidRDefault="00C738D1" w:rsidP="00782EC7">
      <w:pPr>
        <w:pStyle w:val="Textoindependiente"/>
        <w:spacing w:after="120"/>
        <w:rPr>
          <w:rFonts w:ascii="Arial" w:hAnsi="Arial" w:cs="Arial"/>
          <w:b/>
          <w:szCs w:val="24"/>
          <w:lang w:val="es-MX"/>
        </w:rPr>
      </w:pPr>
      <w:r>
        <w:rPr>
          <w:rFonts w:ascii="Arial" w:hAnsi="Arial" w:cs="Arial"/>
          <w:b/>
          <w:szCs w:val="24"/>
          <w:lang w:val="es-MX"/>
        </w:rPr>
        <w:t xml:space="preserve">Último </w:t>
      </w:r>
      <w:r w:rsidR="00A73542" w:rsidRPr="00A73542">
        <w:rPr>
          <w:rFonts w:ascii="Arial" w:hAnsi="Arial" w:cs="Arial"/>
          <w:b/>
          <w:szCs w:val="24"/>
          <w:lang w:val="es-MX"/>
        </w:rPr>
        <w:t>periodo</w:t>
      </w:r>
      <w:r>
        <w:rPr>
          <w:rFonts w:ascii="Arial" w:hAnsi="Arial" w:cs="Arial"/>
          <w:b/>
          <w:szCs w:val="24"/>
          <w:lang w:val="es-MX"/>
        </w:rPr>
        <w:t xml:space="preserve"> cursado:</w:t>
      </w:r>
      <w:r w:rsidR="00A73542" w:rsidRPr="00A73542">
        <w:rPr>
          <w:rFonts w:ascii="Arial" w:hAnsi="Arial" w:cs="Arial"/>
          <w:b/>
          <w:szCs w:val="24"/>
          <w:lang w:val="es-MX"/>
        </w:rPr>
        <w:t xml:space="preserve"> 01 enero – 30 junio 2019 Tel: 656 667 04 10</w:t>
      </w:r>
      <w:bookmarkStart w:id="2" w:name="_GoBack"/>
      <w:bookmarkEnd w:id="2"/>
    </w:p>
    <w:sectPr w:rsidR="00CF3927" w:rsidRPr="00A73542" w:rsidSect="00C93EF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E15C3"/>
    <w:multiLevelType w:val="hybridMultilevel"/>
    <w:tmpl w:val="A3626A12"/>
    <w:lvl w:ilvl="0" w:tplc="A222784E">
      <w:start w:val="1"/>
      <w:numFmt w:val="decimal"/>
      <w:lvlText w:val="%1."/>
      <w:lvlJc w:val="left"/>
      <w:pPr>
        <w:ind w:left="3090" w:hanging="273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5B609A8"/>
    <w:multiLevelType w:val="hybridMultilevel"/>
    <w:tmpl w:val="4EB4B7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135"/>
    <w:rsid w:val="00015977"/>
    <w:rsid w:val="00021C55"/>
    <w:rsid w:val="00032E1F"/>
    <w:rsid w:val="0004298D"/>
    <w:rsid w:val="00055F4F"/>
    <w:rsid w:val="000610AB"/>
    <w:rsid w:val="0008597D"/>
    <w:rsid w:val="0010086B"/>
    <w:rsid w:val="00105D61"/>
    <w:rsid w:val="00106E5F"/>
    <w:rsid w:val="001A0498"/>
    <w:rsid w:val="001A1EA4"/>
    <w:rsid w:val="001A43DE"/>
    <w:rsid w:val="001B3B25"/>
    <w:rsid w:val="001F2F83"/>
    <w:rsid w:val="00204295"/>
    <w:rsid w:val="002078C4"/>
    <w:rsid w:val="0023077B"/>
    <w:rsid w:val="002360AE"/>
    <w:rsid w:val="00237135"/>
    <w:rsid w:val="00237A9F"/>
    <w:rsid w:val="00244EBB"/>
    <w:rsid w:val="002565BE"/>
    <w:rsid w:val="0028038E"/>
    <w:rsid w:val="00286794"/>
    <w:rsid w:val="002C2081"/>
    <w:rsid w:val="0030539C"/>
    <w:rsid w:val="0032061E"/>
    <w:rsid w:val="00382FE3"/>
    <w:rsid w:val="00387784"/>
    <w:rsid w:val="003C719C"/>
    <w:rsid w:val="003E6CD3"/>
    <w:rsid w:val="003E781E"/>
    <w:rsid w:val="0040576E"/>
    <w:rsid w:val="0044653C"/>
    <w:rsid w:val="00465CEF"/>
    <w:rsid w:val="004A3366"/>
    <w:rsid w:val="004A59D3"/>
    <w:rsid w:val="004B443B"/>
    <w:rsid w:val="004F1A37"/>
    <w:rsid w:val="00513279"/>
    <w:rsid w:val="005258E7"/>
    <w:rsid w:val="0053489C"/>
    <w:rsid w:val="00542C51"/>
    <w:rsid w:val="005459B6"/>
    <w:rsid w:val="0059563B"/>
    <w:rsid w:val="005A580A"/>
    <w:rsid w:val="005B2606"/>
    <w:rsid w:val="005B594E"/>
    <w:rsid w:val="005B72A6"/>
    <w:rsid w:val="005E1063"/>
    <w:rsid w:val="006403B1"/>
    <w:rsid w:val="00681235"/>
    <w:rsid w:val="006C218E"/>
    <w:rsid w:val="00711F69"/>
    <w:rsid w:val="00722D7B"/>
    <w:rsid w:val="007278CB"/>
    <w:rsid w:val="0074271F"/>
    <w:rsid w:val="00746756"/>
    <w:rsid w:val="00750A5B"/>
    <w:rsid w:val="00756BE4"/>
    <w:rsid w:val="0076269E"/>
    <w:rsid w:val="00765BCE"/>
    <w:rsid w:val="00782EC7"/>
    <w:rsid w:val="007D70F2"/>
    <w:rsid w:val="007E680F"/>
    <w:rsid w:val="00856731"/>
    <w:rsid w:val="008660D5"/>
    <w:rsid w:val="008C261A"/>
    <w:rsid w:val="008C77DB"/>
    <w:rsid w:val="008E262E"/>
    <w:rsid w:val="008E3DA2"/>
    <w:rsid w:val="009211DF"/>
    <w:rsid w:val="0093015D"/>
    <w:rsid w:val="00935E69"/>
    <w:rsid w:val="00970B86"/>
    <w:rsid w:val="009761F0"/>
    <w:rsid w:val="00997746"/>
    <w:rsid w:val="009A6BCE"/>
    <w:rsid w:val="009B4D50"/>
    <w:rsid w:val="009F52B0"/>
    <w:rsid w:val="00A3084A"/>
    <w:rsid w:val="00A335AD"/>
    <w:rsid w:val="00A3768C"/>
    <w:rsid w:val="00A534DE"/>
    <w:rsid w:val="00A568E0"/>
    <w:rsid w:val="00A70BF2"/>
    <w:rsid w:val="00A73542"/>
    <w:rsid w:val="00A80C45"/>
    <w:rsid w:val="00A8658A"/>
    <w:rsid w:val="00AA5422"/>
    <w:rsid w:val="00AB1DC2"/>
    <w:rsid w:val="00AD1FDA"/>
    <w:rsid w:val="00AD3ACA"/>
    <w:rsid w:val="00B24ED0"/>
    <w:rsid w:val="00B77476"/>
    <w:rsid w:val="00BA3459"/>
    <w:rsid w:val="00BA5FF8"/>
    <w:rsid w:val="00BB6251"/>
    <w:rsid w:val="00BC269B"/>
    <w:rsid w:val="00C11C3E"/>
    <w:rsid w:val="00C12F31"/>
    <w:rsid w:val="00C21B6E"/>
    <w:rsid w:val="00C65E38"/>
    <w:rsid w:val="00C7378F"/>
    <w:rsid w:val="00C738D1"/>
    <w:rsid w:val="00C93EF9"/>
    <w:rsid w:val="00CB0162"/>
    <w:rsid w:val="00CC6FAE"/>
    <w:rsid w:val="00CE0F46"/>
    <w:rsid w:val="00CF3927"/>
    <w:rsid w:val="00D12866"/>
    <w:rsid w:val="00D40149"/>
    <w:rsid w:val="00D74F77"/>
    <w:rsid w:val="00DD147B"/>
    <w:rsid w:val="00DD3901"/>
    <w:rsid w:val="00DE25F6"/>
    <w:rsid w:val="00DF7B99"/>
    <w:rsid w:val="00E27786"/>
    <w:rsid w:val="00E3393B"/>
    <w:rsid w:val="00E422F1"/>
    <w:rsid w:val="00EB2B42"/>
    <w:rsid w:val="00EB389E"/>
    <w:rsid w:val="00ED1BFB"/>
    <w:rsid w:val="00EF0737"/>
    <w:rsid w:val="00F2672E"/>
    <w:rsid w:val="00F364D1"/>
    <w:rsid w:val="00F83704"/>
    <w:rsid w:val="00FA25E8"/>
    <w:rsid w:val="00FC3EB9"/>
    <w:rsid w:val="00FC5974"/>
    <w:rsid w:val="00FD29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22141"/>
  <w15:chartTrackingRefBased/>
  <w15:docId w15:val="{5BEB5FD9-7746-4F8D-9CFC-AB46DB11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37135"/>
    <w:pPr>
      <w:tabs>
        <w:tab w:val="right" w:pos="8640"/>
      </w:tabs>
      <w:spacing w:after="280" w:line="360" w:lineRule="auto"/>
      <w:jc w:val="both"/>
    </w:pPr>
    <w:rPr>
      <w:rFonts w:ascii="Garamond" w:eastAsia="MS Mincho" w:hAnsi="Garamond" w:cs="Times New Roman"/>
      <w:spacing w:val="-2"/>
      <w:sz w:val="24"/>
      <w:szCs w:val="20"/>
      <w:lang w:val="es-ES"/>
    </w:rPr>
  </w:style>
  <w:style w:type="character" w:customStyle="1" w:styleId="TextoindependienteCar">
    <w:name w:val="Texto independiente Car"/>
    <w:basedOn w:val="Fuentedeprrafopredeter"/>
    <w:link w:val="Textoindependiente"/>
    <w:rsid w:val="00237135"/>
    <w:rPr>
      <w:rFonts w:ascii="Garamond" w:eastAsia="MS Mincho" w:hAnsi="Garamond" w:cs="Times New Roman"/>
      <w:spacing w:val="-2"/>
      <w:sz w:val="24"/>
      <w:szCs w:val="20"/>
      <w:lang w:val="es-ES"/>
    </w:rPr>
  </w:style>
  <w:style w:type="paragraph" w:customStyle="1" w:styleId="Ttulo-base">
    <w:name w:val="Título - base"/>
    <w:basedOn w:val="Normal"/>
    <w:next w:val="Textoindependiente"/>
    <w:rsid w:val="00237135"/>
    <w:pPr>
      <w:keepNext/>
      <w:keepLines/>
      <w:tabs>
        <w:tab w:val="right" w:pos="8640"/>
      </w:tabs>
      <w:spacing w:after="0" w:line="360" w:lineRule="auto"/>
    </w:pPr>
    <w:rPr>
      <w:rFonts w:ascii="Garamond" w:eastAsia="MS Mincho" w:hAnsi="Garamond" w:cs="Times New Roman"/>
      <w:b/>
      <w:spacing w:val="-2"/>
      <w:kern w:val="28"/>
      <w:sz w:val="24"/>
      <w:szCs w:val="20"/>
      <w:lang w:val="es-ES"/>
    </w:rPr>
  </w:style>
  <w:style w:type="character" w:styleId="Hipervnculo">
    <w:name w:val="Hyperlink"/>
    <w:basedOn w:val="Fuentedeprrafopredeter"/>
    <w:uiPriority w:val="99"/>
    <w:unhideWhenUsed/>
    <w:rsid w:val="009761F0"/>
    <w:rPr>
      <w:color w:val="0563C1" w:themeColor="hyperlink"/>
      <w:u w:val="single"/>
    </w:rPr>
  </w:style>
  <w:style w:type="paragraph" w:styleId="Bibliografa">
    <w:name w:val="Bibliography"/>
    <w:basedOn w:val="Normal"/>
    <w:next w:val="Normal"/>
    <w:uiPriority w:val="37"/>
    <w:unhideWhenUsed/>
    <w:rsid w:val="0040576E"/>
  </w:style>
  <w:style w:type="paragraph" w:styleId="Descripcin">
    <w:name w:val="caption"/>
    <w:basedOn w:val="Normal"/>
    <w:next w:val="Textoindependiente"/>
    <w:qFormat/>
    <w:rsid w:val="00382FE3"/>
    <w:pPr>
      <w:tabs>
        <w:tab w:val="right" w:pos="8640"/>
      </w:tabs>
      <w:spacing w:after="560" w:line="240" w:lineRule="auto"/>
      <w:ind w:left="1920" w:right="1920"/>
      <w:jc w:val="both"/>
    </w:pPr>
    <w:rPr>
      <w:rFonts w:ascii="Garamond" w:eastAsia="MS Mincho" w:hAnsi="Garamond" w:cs="Times New Roman"/>
      <w:sz w:val="18"/>
      <w:szCs w:val="20"/>
      <w:lang w:val="es-ES"/>
    </w:rPr>
  </w:style>
  <w:style w:type="table" w:styleId="Tablaconcuadrcula">
    <w:name w:val="Table Grid"/>
    <w:basedOn w:val="Tablanormal"/>
    <w:rsid w:val="00856731"/>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493716">
      <w:bodyDiv w:val="1"/>
      <w:marLeft w:val="0"/>
      <w:marRight w:val="0"/>
      <w:marTop w:val="0"/>
      <w:marBottom w:val="0"/>
      <w:divBdr>
        <w:top w:val="none" w:sz="0" w:space="0" w:color="auto"/>
        <w:left w:val="none" w:sz="0" w:space="0" w:color="auto"/>
        <w:bottom w:val="none" w:sz="0" w:space="0" w:color="auto"/>
        <w:right w:val="none" w:sz="0" w:space="0" w:color="auto"/>
      </w:divBdr>
    </w:div>
    <w:div w:id="179374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laster.docking.org/parser.shtml"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gel.diaz@uacj.mx" TargetMode="Externa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hyperlink" Target="mailto:manuel.terrazas@uacj.mx" TargetMode="External"/><Relationship Id="rId11" Type="http://schemas.openxmlformats.org/officeDocument/2006/relationships/hyperlink" Target="http://cbdm-01.zdv.uni-mainz.de/~andrade/k2d3/"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Pap</b:Tag>
    <b:SourceType>JournalArticle</b:SourceType>
    <b:Guid>{00478E85-B7E9-4B58-BFAF-BE221E9BBD06}</b:Guid>
    <b:Author>
      <b:Author>
        <b:NameList>
          <b:Person>
            <b:Last>Paphitou</b:Last>
            <b:First>N.</b:First>
          </b:Person>
        </b:NameList>
      </b:Author>
    </b:Author>
    <b:Title>Antimicrobial resistance: Action to combat the rising microbial challenges</b:Title>
    <b:JournalName>International Journal of Antimicrobial Agents</b:JournalName>
    <b:Year>2013</b:Year>
    <b:RefOrder>1</b:RefOrder>
  </b:Source>
  <b:Source>
    <b:Tag>Alc17</b:Tag>
    <b:SourceType>JournalArticle</b:SourceType>
    <b:Guid>{F6865D8D-C827-45D2-9DA4-0B6280228A0F}</b:Guid>
    <b:Author>
      <b:Author>
        <b:NameList>
          <b:Person>
            <b:Last>Alcorlo</b:Last>
            <b:First>M.,</b:First>
            <b:Middle>Martínez-Caballero, S., Molina, R., &amp; Hermoso, J. A.</b:Middle>
          </b:Person>
        </b:NameList>
      </b:Author>
    </b:Author>
    <b:Title>Carbohydrate recognition and lysis by bacterial peptidoglycan hydrolases</b:Title>
    <b:JournalName>Current Opinion in Structural Biology</b:JournalName>
    <b:Year>2017</b:Year>
    <b:Pages>87-100</b:Pages>
    <b:RefOrder>2</b:RefOrder>
  </b:Source>
  <b:Source>
    <b:Tag>Dra081</b:Tag>
    <b:SourceType>JournalArticle</b:SourceType>
    <b:Guid>{D92335CB-99A9-4A5E-8944-44750796EE65}</b:Guid>
    <b:Author>
      <b:Author>
        <b:NameList>
          <b:Person>
            <b:Last>Dramsi</b:Last>
            <b:First>S.,</b:First>
            <b:Middle>Magnet, S., Davison, S., &amp; Arthur, M.</b:Middle>
          </b:Person>
        </b:NameList>
      </b:Author>
    </b:Author>
    <b:Title>Covalent attachment of proteins to peptidoglycan</b:Title>
    <b:JournalName>FEMS Microbiology Reviews</b:JournalName>
    <b:Year>2008</b:Year>
    <b:Pages>307-320</b:Pages>
    <b:RefOrder>3</b:RefOrder>
  </b:Source>
  <b:Source>
    <b:Tag>Vol081</b:Tag>
    <b:SourceType>JournalArticle</b:SourceType>
    <b:Guid>{D1753095-4DD5-4773-8C19-6A822668FE24}</b:Guid>
    <b:Author>
      <b:Author>
        <b:NameList>
          <b:Person>
            <b:Last>Vollmer</b:Last>
            <b:First>W.,</b:First>
            <b:Middle>Blanot, D., &amp; De Pedro, M. A.</b:Middle>
          </b:Person>
        </b:NameList>
      </b:Author>
    </b:Author>
    <b:Title>Peptidoglycan structure and architecture</b:Title>
    <b:JournalName>FEMS Microbiology Reviews</b:JournalName>
    <b:Year>2008</b:Year>
    <b:Pages>149-167</b:Pages>
    <b:RefOrder>4</b:RefOrder>
  </b:Source>
  <b:Source>
    <b:Tag>Bor991</b:Tag>
    <b:SourceType>JournalArticle</b:SourceType>
    <b:Guid>{CBF7AD1E-13DC-4877-A614-B8F2DB21E1D1}</b:Guid>
    <b:Author>
      <b:Author>
        <b:NameList>
          <b:Person>
            <b:Last>Born</b:Last>
            <b:First>T.</b:First>
            <b:Middle>L., &amp; Blanchard, J. S.</b:Middle>
          </b:Person>
        </b:NameList>
      </b:Author>
    </b:Author>
    <b:Title>Structure/function studies on enzymes in the diaminopimelate pathway of bacterial cell wall biosynthesis</b:Title>
    <b:JournalName>Current Opinion in Chemical Biology</b:JournalName>
    <b:Year>1999</b:Year>
    <b:Pages>607-613</b:Pages>
    <b:RefOrder>5</b:RefOrder>
  </b:Source>
  <b:Source>
    <b:Tag>Kar971</b:Tag>
    <b:SourceType>JournalArticle</b:SourceType>
    <b:Guid>{B9F678FB-D126-46E3-9458-057CA888B730}</b:Guid>
    <b:Author>
      <b:Author>
        <b:NameList>
          <b:Person>
            <b:Last>Karita</b:Last>
            <b:First>M.,</b:First>
            <b:Middle>Etterbeek, M. L., Forsyth, M. H., Tummuru, M. K. R., &amp; Blaser, M. J.</b:Middle>
          </b:Person>
        </b:NameList>
      </b:Author>
    </b:Author>
    <b:Title>Characterization of Helicobacter pylori dapE and construction of a conditionally lethal dapE mutant</b:Title>
    <b:JournalName>Infection and Immunity</b:JournalName>
    <b:Year>1997</b:Year>
    <b:RefOrder>6</b:RefOrder>
  </b:Source>
  <b:Source>
    <b:Tag>Gil13</b:Tag>
    <b:SourceType>JournalArticle</b:SourceType>
    <b:Guid>{A6532442-FAE8-4263-9D41-A017EC1D1545}</b:Guid>
    <b:Author>
      <b:Author>
        <b:NameList>
          <b:Person>
            <b:Last>Gillner</b:Last>
            <b:First>D.,</b:First>
            <b:Middle>Becker, D.</b:Middle>
          </b:Person>
          <b:Person>
            <b:Last>Holz</b:Last>
            <b:First>R.</b:First>
          </b:Person>
        </b:NameList>
      </b:Author>
    </b:Author>
    <b:Title>Lysine biosynthesis in bacteria: a metallodesuccinylase as a potential antimicrobial target</b:Title>
    <b:JournalName>JBIC Journal of Biological Inorganic Chemistry</b:JournalName>
    <b:Year>2013</b:Year>
    <b:RefOrder>7</b:RefOrder>
  </b:Source>
  <b:Source>
    <b:Tag>Cas17</b:Tag>
    <b:SourceType>JournalArticle</b:SourceType>
    <b:Guid>{2A8EC256-C4FA-4C64-A18A-154F18ABCD0A}</b:Guid>
    <b:Title>Aspectos estructurales y funcionales de la inhibici{on de la enzima desuccinilasa DAPE del ácido diaminopimélico de Escherichia coli patógena</b:Title>
    <b:JournalName>Tesis de Maestría en Ciencias Orientación en Genómica</b:JournalName>
    <b:Year>2017</b:Year>
    <b:Pages>49</b:Pages>
    <b:Author>
      <b:Author>
        <b:NameList>
          <b:Person>
            <b:Last>Castañeda-Breceda</b:Last>
            <b:First>I.</b:First>
          </b:Person>
        </b:NameList>
      </b:Author>
    </b:Author>
    <b:RefOrder>12</b:RefOrder>
  </b:Source>
  <b:Source>
    <b:Tag>Huy15</b:Tag>
    <b:SourceType>JournalArticle</b:SourceType>
    <b:Guid>{7C65296E-0CAC-42A0-B499-88339F8C11AE}</b:Guid>
    <b:Title>Current Protocols in Protein Science: Analysis of protein stability and ligand interactions by thermal shift assay</b:Title>
    <b:Year>2015</b:Year>
    <b:Author>
      <b:Author>
        <b:NameList>
          <b:Person>
            <b:Last>Huynh</b:Last>
            <b:First>K.</b:First>
            <b:Middle>and Partch, C.</b:Middle>
          </b:Person>
        </b:NameList>
      </b:Author>
    </b:Author>
    <b:JournalName>Current Protocols in Protein Science </b:JournalName>
    <b:Pages>79</b:Pages>
    <b:RefOrder>11</b:RefOrder>
  </b:Source>
  <b:Source>
    <b:Tag>Gil09</b:Tag>
    <b:SourceType>JournalArticle</b:SourceType>
    <b:Guid>{807337C0-0627-4EEA-A8FC-661B88852D4D}</b:Guid>
    <b:Author>
      <b:Author>
        <b:NameList>
          <b:Person>
            <b:Last>Gillner</b:Last>
            <b:First>D.,</b:First>
            <b:Middle>Bienvenue, D., Nocek, B., Joachimiak, A., Zachary, V., Bennett, B</b:Middle>
          </b:Person>
          <b:Person>
            <b:Last>Holz</b:Last>
            <b:First>R.</b:First>
          </b:Person>
        </b:NameList>
      </b:Author>
    </b:Author>
    <b:Title>The dapE-encoded N-succinyl-L,L-Diaminopimelic Acid Desuccinylase from Haemophilus influenzae Contains two Active Site Histidine Residues</b:Title>
    <b:JournalName>Journal of Biological Inorganic Chemistry</b:JournalName>
    <b:Year>2009</b:Year>
    <b:Pages>1-10</b:Pages>
    <b:RefOrder>8</b:RefOrder>
  </b:Source>
  <b:Source>
    <b:Tag>Bie03</b:Tag>
    <b:SourceType>JournalArticle</b:SourceType>
    <b:Guid>{0285CDBE-9604-4751-BC69-F0D7421986ED}</b:Guid>
    <b:Author>
      <b:Author>
        <b:NameList>
          <b:Person>
            <b:Last>Bienvenue</b:Last>
            <b:First>D.,</b:First>
            <b:Middle>Gilner, D., Davis, R., Bennett, R., Holz, R.</b:Middle>
          </b:Person>
        </b:NameList>
      </b:Author>
    </b:Author>
    <b:Title>Substrate Specificity, Metal Binding Properties, and Spectroscopic Characterization of the DapE-Encoded N-Succinyl-l,l-Diaminopimelic Acid Desuccinylase from Haemophilus influenzae</b:Title>
    <b:JournalName>Biochemistry</b:JournalName>
    <b:Year>2003</b:Year>
    <b:Pages>10756-10763</b:Pages>
    <b:RefOrder>9</b:RefOrder>
  </b:Source>
  <b:Source>
    <b:Tag>Sta16</b:Tag>
    <b:SourceType>JournalArticle</b:SourceType>
    <b:Guid>{9FA26F4B-DE1D-4911-B8C1-593A94DC5DF8}</b:Guid>
    <b:Author>
      <b:Author>
        <b:NameList>
          <b:Person>
            <b:Last>Starus</b:Last>
            <b:First>A.,</b:First>
            <b:Middle>Nocek, B., Bennett, B., Larrabee, J., Shaw, D., Sae-Lee, W., Russo, M., Gillner, D., Makowska-Grzyska, M., Joachimiak, A., Holz, R.</b:Middle>
          </b:Person>
        </b:NameList>
      </b:Author>
    </b:Author>
    <b:Title>Inhibition of the dapE-Encoded N-Succinyl-L,L-diaminopimelic Acid Desuccinylase from Neisseria meningitidis by L-Captopril</b:Title>
    <b:JournalName>Biochemistry</b:JournalName>
    <b:Year>2016</b:Year>
    <b:Pages>4834-4844</b:Pages>
    <b:RefOrder>10</b:RefOrder>
  </b:Source>
</b:Sources>
</file>

<file path=customXml/itemProps1.xml><?xml version="1.0" encoding="utf-8"?>
<ds:datastoreItem xmlns:ds="http://schemas.openxmlformats.org/officeDocument/2006/customXml" ds:itemID="{21C23640-3245-4BAA-9E1F-9E2D98B3E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10</Pages>
  <Words>2629</Words>
  <Characters>14461</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59</cp:revision>
  <dcterms:created xsi:type="dcterms:W3CDTF">2019-09-10T10:13:00Z</dcterms:created>
  <dcterms:modified xsi:type="dcterms:W3CDTF">2019-09-13T08:18:00Z</dcterms:modified>
</cp:coreProperties>
</file>