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3B42EA" w14:textId="299EA30A" w:rsidR="00F82232" w:rsidRPr="009969F8" w:rsidRDefault="009969F8" w:rsidP="0023302A">
      <w:pPr>
        <w:spacing w:line="360" w:lineRule="auto"/>
        <w:jc w:val="center"/>
        <w:rPr>
          <w:rFonts w:ascii="Arial" w:hAnsi="Arial" w:cs="Arial"/>
          <w:b/>
          <w:bCs/>
          <w:sz w:val="24"/>
          <w:szCs w:val="24"/>
          <w:lang w:val="es-MX"/>
        </w:rPr>
      </w:pPr>
      <w:r w:rsidRPr="009969F8">
        <w:rPr>
          <w:rFonts w:ascii="Arial" w:hAnsi="Arial" w:cs="Arial"/>
          <w:b/>
          <w:bCs/>
          <w:sz w:val="24"/>
          <w:szCs w:val="24"/>
          <w:lang w:val="es-MX"/>
        </w:rPr>
        <w:t xml:space="preserve">Síntesis sol-gel de </w:t>
      </w:r>
      <w:proofErr w:type="spellStart"/>
      <w:r w:rsidRPr="009969F8">
        <w:rPr>
          <w:rFonts w:ascii="Arial" w:hAnsi="Arial" w:cs="Arial"/>
          <w:b/>
          <w:bCs/>
          <w:sz w:val="24"/>
          <w:szCs w:val="24"/>
          <w:lang w:val="es-MX"/>
        </w:rPr>
        <w:t>nanofibras</w:t>
      </w:r>
      <w:proofErr w:type="spellEnd"/>
      <w:r w:rsidRPr="009969F8">
        <w:rPr>
          <w:rFonts w:ascii="Arial" w:hAnsi="Arial" w:cs="Arial"/>
          <w:b/>
          <w:bCs/>
          <w:sz w:val="24"/>
          <w:szCs w:val="24"/>
          <w:lang w:val="es-MX"/>
        </w:rPr>
        <w:t xml:space="preserve"> de titanato de estroncio </w:t>
      </w:r>
    </w:p>
    <w:p w14:paraId="2B621CB2" w14:textId="0BD00DA1" w:rsidR="009969F8" w:rsidRDefault="009969F8" w:rsidP="009969F8">
      <w:pPr>
        <w:spacing w:line="360" w:lineRule="auto"/>
        <w:jc w:val="center"/>
        <w:rPr>
          <w:rFonts w:ascii="Arial" w:hAnsi="Arial" w:cs="Arial"/>
          <w:sz w:val="24"/>
          <w:szCs w:val="24"/>
          <w:lang w:val="es-MX"/>
        </w:rPr>
      </w:pPr>
      <w:r>
        <w:rPr>
          <w:rFonts w:ascii="Arial" w:hAnsi="Arial" w:cs="Arial"/>
          <w:b/>
          <w:bCs/>
          <w:sz w:val="24"/>
          <w:szCs w:val="24"/>
          <w:lang w:val="es-MX"/>
        </w:rPr>
        <w:t xml:space="preserve"> </w:t>
      </w:r>
      <w:r>
        <w:rPr>
          <w:rFonts w:ascii="Arial" w:hAnsi="Arial" w:cs="Arial"/>
          <w:sz w:val="24"/>
          <w:szCs w:val="24"/>
          <w:lang w:val="es-MX"/>
        </w:rPr>
        <w:t>Tania Beatriz Izquierdo Almaguer</w:t>
      </w:r>
      <w:r w:rsidRPr="009956D6">
        <w:rPr>
          <w:rFonts w:ascii="Arial" w:hAnsi="Arial" w:cs="Arial"/>
          <w:sz w:val="24"/>
          <w:szCs w:val="24"/>
          <w:lang w:val="es-MX"/>
        </w:rPr>
        <w:t xml:space="preserve">, </w:t>
      </w:r>
      <w:hyperlink r:id="rId5" w:history="1">
        <w:r w:rsidRPr="000D740A">
          <w:rPr>
            <w:rStyle w:val="Hipervnculo"/>
            <w:rFonts w:ascii="Arial" w:hAnsi="Arial" w:cs="Arial"/>
            <w:sz w:val="24"/>
            <w:szCs w:val="24"/>
            <w:shd w:val="clear" w:color="auto" w:fill="FFFFFF"/>
            <w:lang w:val="es-ES"/>
          </w:rPr>
          <w:t>al157281@alumnos.uacj.mx</w:t>
        </w:r>
      </w:hyperlink>
    </w:p>
    <w:p w14:paraId="6DF39581" w14:textId="77777777" w:rsidR="009969F8" w:rsidRPr="00644FC3" w:rsidRDefault="009969F8" w:rsidP="009969F8">
      <w:pPr>
        <w:spacing w:line="360" w:lineRule="auto"/>
        <w:jc w:val="both"/>
        <w:rPr>
          <w:rFonts w:ascii="Arial" w:eastAsia="Calibri" w:hAnsi="Arial" w:cs="Arial"/>
          <w:sz w:val="24"/>
          <w:szCs w:val="24"/>
          <w:lang w:val="es-ES"/>
        </w:rPr>
      </w:pPr>
      <w:r w:rsidRPr="00644FC3">
        <w:rPr>
          <w:rFonts w:ascii="Arial" w:eastAsia="Calibri" w:hAnsi="Arial" w:cs="Arial"/>
          <w:sz w:val="24"/>
          <w:szCs w:val="24"/>
          <w:lang w:val="es-ES"/>
        </w:rPr>
        <w:t xml:space="preserve">Director de la investigación: Dr. Simón </w:t>
      </w:r>
      <w:proofErr w:type="spellStart"/>
      <w:r w:rsidRPr="00644FC3">
        <w:rPr>
          <w:rFonts w:ascii="Arial" w:eastAsia="Calibri" w:hAnsi="Arial" w:cs="Arial"/>
          <w:sz w:val="24"/>
          <w:szCs w:val="24"/>
          <w:lang w:val="es-ES"/>
        </w:rPr>
        <w:t>Yobanny</w:t>
      </w:r>
      <w:proofErr w:type="spellEnd"/>
      <w:r w:rsidRPr="00644FC3">
        <w:rPr>
          <w:rFonts w:ascii="Arial" w:eastAsia="Calibri" w:hAnsi="Arial" w:cs="Arial"/>
          <w:sz w:val="24"/>
          <w:szCs w:val="24"/>
          <w:lang w:val="es-ES"/>
        </w:rPr>
        <w:t xml:space="preserve"> reyes López, simon.reyes@uacj.mx</w:t>
      </w:r>
    </w:p>
    <w:p w14:paraId="34BB6296" w14:textId="6D5083FD" w:rsidR="009969F8" w:rsidRDefault="009969F8" w:rsidP="009969F8">
      <w:pPr>
        <w:spacing w:line="360" w:lineRule="auto"/>
        <w:jc w:val="both"/>
        <w:rPr>
          <w:rFonts w:ascii="Arial" w:eastAsia="Calibri" w:hAnsi="Arial" w:cs="Arial"/>
          <w:sz w:val="24"/>
          <w:szCs w:val="24"/>
          <w:lang w:val="es-ES"/>
        </w:rPr>
      </w:pPr>
      <w:bookmarkStart w:id="0" w:name="_Hlk19364603"/>
      <w:r w:rsidRPr="00644FC3">
        <w:rPr>
          <w:rFonts w:ascii="Arial" w:eastAsia="Calibri" w:hAnsi="Arial" w:cs="Arial"/>
          <w:sz w:val="24"/>
          <w:szCs w:val="24"/>
          <w:lang w:val="es-ES"/>
        </w:rPr>
        <w:t xml:space="preserve">Modalidad </w:t>
      </w:r>
      <w:r w:rsidR="00D01473">
        <w:rPr>
          <w:rFonts w:ascii="Arial" w:eastAsia="Calibri" w:hAnsi="Arial" w:cs="Arial"/>
          <w:sz w:val="24"/>
          <w:szCs w:val="24"/>
          <w:lang w:val="es-ES"/>
        </w:rPr>
        <w:t>o</w:t>
      </w:r>
      <w:r w:rsidRPr="00644FC3">
        <w:rPr>
          <w:rFonts w:ascii="Arial" w:eastAsia="Calibri" w:hAnsi="Arial" w:cs="Arial"/>
          <w:sz w:val="24"/>
          <w:szCs w:val="24"/>
          <w:lang w:val="es-ES"/>
        </w:rPr>
        <w:t xml:space="preserve">ral </w:t>
      </w:r>
      <w:r w:rsidRPr="00644FC3">
        <w:rPr>
          <w:rFonts w:ascii="Arial" w:eastAsia="Calibri" w:hAnsi="Arial" w:cs="Arial"/>
          <w:sz w:val="24"/>
          <w:szCs w:val="24"/>
          <w:lang w:val="es-ES"/>
        </w:rPr>
        <w:tab/>
      </w:r>
      <w:r w:rsidRPr="00644FC3">
        <w:rPr>
          <w:rFonts w:ascii="Arial" w:eastAsia="Calibri" w:hAnsi="Arial" w:cs="Arial"/>
          <w:sz w:val="24"/>
          <w:szCs w:val="24"/>
          <w:lang w:val="es-ES"/>
        </w:rPr>
        <w:tab/>
      </w:r>
    </w:p>
    <w:p w14:paraId="13C1DD8D" w14:textId="6DD2D107" w:rsidR="009969F8" w:rsidRPr="00644FC3" w:rsidRDefault="009969F8" w:rsidP="009969F8">
      <w:pPr>
        <w:spacing w:line="360" w:lineRule="auto"/>
        <w:jc w:val="both"/>
        <w:rPr>
          <w:rFonts w:ascii="Arial" w:eastAsia="Calibri" w:hAnsi="Arial" w:cs="Arial"/>
          <w:sz w:val="24"/>
          <w:szCs w:val="24"/>
          <w:lang w:val="es-ES"/>
        </w:rPr>
      </w:pPr>
      <w:r w:rsidRPr="00644FC3">
        <w:rPr>
          <w:rFonts w:ascii="Arial" w:eastAsia="Calibri" w:hAnsi="Arial" w:cs="Arial"/>
          <w:sz w:val="24"/>
          <w:szCs w:val="24"/>
          <w:lang w:val="es-ES"/>
        </w:rPr>
        <w:t xml:space="preserve">Área de conocimiento: </w:t>
      </w:r>
      <w:r>
        <w:rPr>
          <w:rFonts w:ascii="Arial" w:eastAsia="Calibri" w:hAnsi="Arial" w:cs="Arial"/>
          <w:sz w:val="24"/>
          <w:szCs w:val="24"/>
          <w:lang w:val="es-ES"/>
        </w:rPr>
        <w:t>Física, Matemáticas y Ciencias de La tierra</w:t>
      </w:r>
    </w:p>
    <w:bookmarkEnd w:id="0"/>
    <w:p w14:paraId="0F5D2186" w14:textId="09DE8DE1" w:rsidR="009969F8" w:rsidRPr="00A328C7" w:rsidRDefault="009969F8" w:rsidP="009969F8">
      <w:pPr>
        <w:spacing w:line="360" w:lineRule="auto"/>
        <w:jc w:val="both"/>
        <w:rPr>
          <w:rFonts w:ascii="Arial" w:eastAsia="Calibri" w:hAnsi="Arial" w:cs="Arial"/>
          <w:sz w:val="24"/>
          <w:szCs w:val="24"/>
          <w:lang w:val="es-ES"/>
        </w:rPr>
      </w:pPr>
      <w:r w:rsidRPr="00644FC3">
        <w:rPr>
          <w:rFonts w:ascii="Arial" w:hAnsi="Arial" w:cs="Arial"/>
          <w:color w:val="000000" w:themeColor="text1"/>
          <w:sz w:val="24"/>
          <w:szCs w:val="24"/>
          <w:shd w:val="clear" w:color="auto" w:fill="FFFFFF"/>
          <w:lang w:val="es-ES"/>
        </w:rPr>
        <w:t>Licenciatura en Químic</w:t>
      </w:r>
      <w:r w:rsidR="00D01473">
        <w:rPr>
          <w:rFonts w:ascii="Arial" w:hAnsi="Arial" w:cs="Arial"/>
          <w:color w:val="000000" w:themeColor="text1"/>
          <w:sz w:val="24"/>
          <w:szCs w:val="24"/>
          <w:shd w:val="clear" w:color="auto" w:fill="FFFFFF"/>
          <w:lang w:val="es-ES"/>
        </w:rPr>
        <w:t>a</w:t>
      </w:r>
      <w:r w:rsidRPr="00644FC3">
        <w:rPr>
          <w:rFonts w:ascii="Arial" w:hAnsi="Arial" w:cs="Arial"/>
          <w:color w:val="000000" w:themeColor="text1"/>
          <w:sz w:val="24"/>
          <w:szCs w:val="24"/>
          <w:shd w:val="clear" w:color="auto" w:fill="FFFFFF"/>
          <w:lang w:val="es-ES"/>
        </w:rPr>
        <w:t>,</w:t>
      </w:r>
      <w:r w:rsidRPr="00A328C7">
        <w:rPr>
          <w:rFonts w:ascii="Arial" w:eastAsia="Calibri" w:hAnsi="Arial" w:cs="Arial"/>
          <w:sz w:val="24"/>
          <w:szCs w:val="24"/>
          <w:lang w:val="es-ES"/>
        </w:rPr>
        <w:t xml:space="preserve"> Departamento de Ciencias Químico-Biológicas,</w:t>
      </w:r>
      <w:r w:rsidRPr="00A328C7">
        <w:rPr>
          <w:rFonts w:ascii="Arial" w:eastAsia="Calibri" w:hAnsi="Arial" w:cs="Arial"/>
          <w:sz w:val="24"/>
          <w:szCs w:val="24"/>
          <w:vertAlign w:val="superscript"/>
          <w:lang w:val="es-ES"/>
        </w:rPr>
        <w:t xml:space="preserve"> </w:t>
      </w:r>
      <w:r w:rsidRPr="00A328C7">
        <w:rPr>
          <w:rFonts w:ascii="Arial" w:eastAsia="Calibri" w:hAnsi="Arial" w:cs="Arial"/>
          <w:sz w:val="24"/>
          <w:szCs w:val="24"/>
          <w:lang w:val="es-ES"/>
        </w:rPr>
        <w:t>Instituto de Ciencias Biomédicas, Universidad Autónoma de Ciudad Juárez</w:t>
      </w:r>
      <w:r>
        <w:rPr>
          <w:rFonts w:ascii="Arial" w:eastAsia="Calibri" w:hAnsi="Arial" w:cs="Arial"/>
          <w:sz w:val="24"/>
          <w:szCs w:val="24"/>
          <w:lang w:val="es-ES"/>
        </w:rPr>
        <w:t>.</w:t>
      </w:r>
    </w:p>
    <w:p w14:paraId="2F9A5F1B" w14:textId="77777777" w:rsidR="009969F8" w:rsidRPr="009969F8" w:rsidRDefault="009969F8" w:rsidP="0023302A">
      <w:pPr>
        <w:spacing w:line="360" w:lineRule="auto"/>
        <w:jc w:val="center"/>
        <w:rPr>
          <w:rFonts w:ascii="Arial" w:hAnsi="Arial" w:cs="Arial"/>
          <w:sz w:val="24"/>
          <w:szCs w:val="24"/>
          <w:lang w:val="es-ES"/>
        </w:rPr>
      </w:pPr>
    </w:p>
    <w:p w14:paraId="280F29AD" w14:textId="77777777" w:rsidR="00C2242B" w:rsidRPr="00B148B1" w:rsidRDefault="00C2242B" w:rsidP="001A0407">
      <w:pPr>
        <w:tabs>
          <w:tab w:val="left" w:pos="8130"/>
        </w:tabs>
        <w:spacing w:line="360" w:lineRule="auto"/>
        <w:jc w:val="both"/>
        <w:rPr>
          <w:rFonts w:ascii="Arial" w:hAnsi="Arial" w:cs="Arial"/>
          <w:b/>
          <w:sz w:val="24"/>
          <w:szCs w:val="24"/>
          <w:lang w:val="es-MX"/>
        </w:rPr>
      </w:pPr>
      <w:r w:rsidRPr="00B148B1">
        <w:rPr>
          <w:rFonts w:ascii="Arial" w:hAnsi="Arial" w:cs="Arial"/>
          <w:b/>
          <w:sz w:val="24"/>
          <w:szCs w:val="24"/>
          <w:lang w:val="es-MX"/>
        </w:rPr>
        <w:t>Resumen</w:t>
      </w:r>
    </w:p>
    <w:p w14:paraId="37572DCC" w14:textId="33672218" w:rsidR="000E172B" w:rsidRPr="00B148B1" w:rsidRDefault="00F82232" w:rsidP="001A0407">
      <w:pPr>
        <w:tabs>
          <w:tab w:val="left" w:pos="8130"/>
        </w:tabs>
        <w:spacing w:line="360" w:lineRule="auto"/>
        <w:jc w:val="both"/>
        <w:rPr>
          <w:rFonts w:ascii="Arial" w:hAnsi="Arial" w:cs="Arial"/>
          <w:sz w:val="24"/>
          <w:szCs w:val="24"/>
          <w:lang w:val="es-MX"/>
        </w:rPr>
      </w:pPr>
      <w:r w:rsidRPr="00B148B1">
        <w:rPr>
          <w:rFonts w:ascii="Arial" w:hAnsi="Arial" w:cs="Arial"/>
          <w:sz w:val="24"/>
          <w:szCs w:val="24"/>
          <w:lang w:val="es-MX"/>
        </w:rPr>
        <w:t>El titanato de estroncio es una cerámica d</w:t>
      </w:r>
      <w:r w:rsidR="008511A5" w:rsidRPr="00B148B1">
        <w:rPr>
          <w:rFonts w:ascii="Arial" w:hAnsi="Arial" w:cs="Arial"/>
          <w:sz w:val="24"/>
          <w:szCs w:val="24"/>
          <w:lang w:val="es-MX"/>
        </w:rPr>
        <w:t xml:space="preserve">erivada de óxido de titanio y sales de estroncio, con </w:t>
      </w:r>
      <w:r w:rsidRPr="00B148B1">
        <w:rPr>
          <w:rFonts w:ascii="Arial" w:hAnsi="Arial" w:cs="Arial"/>
          <w:sz w:val="24"/>
          <w:szCs w:val="24"/>
          <w:lang w:val="es-MX"/>
        </w:rPr>
        <w:t>fórmula SrTiO</w:t>
      </w:r>
      <w:r w:rsidRPr="00B148B1">
        <w:rPr>
          <w:rFonts w:ascii="Arial" w:hAnsi="Arial" w:cs="Arial"/>
          <w:sz w:val="24"/>
          <w:szCs w:val="24"/>
          <w:vertAlign w:val="subscript"/>
          <w:lang w:val="es-MX"/>
        </w:rPr>
        <w:t>3</w:t>
      </w:r>
      <w:r w:rsidRPr="00B148B1">
        <w:rPr>
          <w:rFonts w:ascii="Arial" w:hAnsi="Arial" w:cs="Arial"/>
          <w:sz w:val="24"/>
          <w:szCs w:val="24"/>
          <w:lang w:val="es-MX"/>
        </w:rPr>
        <w:t>. El SrTiO</w:t>
      </w:r>
      <w:r w:rsidRPr="00B148B1">
        <w:rPr>
          <w:rFonts w:ascii="Arial" w:hAnsi="Arial" w:cs="Arial"/>
          <w:sz w:val="24"/>
          <w:szCs w:val="24"/>
          <w:vertAlign w:val="subscript"/>
          <w:lang w:val="es-MX"/>
        </w:rPr>
        <w:t>3</w:t>
      </w:r>
      <w:r w:rsidRPr="00B148B1">
        <w:rPr>
          <w:rFonts w:ascii="Arial" w:hAnsi="Arial" w:cs="Arial"/>
          <w:sz w:val="24"/>
          <w:szCs w:val="24"/>
          <w:lang w:val="es-MX"/>
        </w:rPr>
        <w:t xml:space="preserve"> se caracteriza por tener una estructura cristalina cúbica centrada en el cuerpo que tiene</w:t>
      </w:r>
      <w:r w:rsidR="008511A5" w:rsidRPr="00B148B1">
        <w:rPr>
          <w:rFonts w:ascii="Arial" w:hAnsi="Arial" w:cs="Arial"/>
          <w:sz w:val="24"/>
          <w:szCs w:val="24"/>
          <w:lang w:val="es-MX"/>
        </w:rPr>
        <w:t xml:space="preserve"> una conformación de</w:t>
      </w:r>
      <w:r w:rsidRPr="00B148B1">
        <w:rPr>
          <w:rFonts w:ascii="Arial" w:hAnsi="Arial" w:cs="Arial"/>
          <w:sz w:val="24"/>
          <w:szCs w:val="24"/>
          <w:lang w:val="es-MX"/>
        </w:rPr>
        <w:t xml:space="preserve"> tipo perovskita. Este material tiene propiedades semiconductoras y por tanto es de interés para el desarrollo de circuitos electrónicos. El objetivo de este proyecto es elaborar fibras cerámicas, utilizando los métodos de sol gel y electrohilado. </w:t>
      </w:r>
      <w:r w:rsidR="00747BDE" w:rsidRPr="00B148B1">
        <w:rPr>
          <w:rFonts w:ascii="Arial" w:hAnsi="Arial" w:cs="Arial"/>
          <w:sz w:val="24"/>
          <w:szCs w:val="24"/>
          <w:lang w:val="es-MX"/>
        </w:rPr>
        <w:t xml:space="preserve">Se prepararon dos soluciones precursoras a partir de </w:t>
      </w:r>
      <w:proofErr w:type="spellStart"/>
      <w:r w:rsidRPr="00B148B1">
        <w:rPr>
          <w:rFonts w:ascii="Arial" w:hAnsi="Arial" w:cs="Arial"/>
          <w:sz w:val="24"/>
          <w:szCs w:val="24"/>
          <w:lang w:val="es-MX"/>
        </w:rPr>
        <w:t>isopropóxido</w:t>
      </w:r>
      <w:proofErr w:type="spellEnd"/>
      <w:r w:rsidRPr="00B148B1">
        <w:rPr>
          <w:rFonts w:ascii="Arial" w:hAnsi="Arial" w:cs="Arial"/>
          <w:sz w:val="24"/>
          <w:szCs w:val="24"/>
          <w:lang w:val="es-MX"/>
        </w:rPr>
        <w:t xml:space="preserve"> de titanio y nitrato de estroncio, manteniendo una relación molar 1:1 entre titanio y estroncio </w:t>
      </w:r>
      <w:r w:rsidR="0023302A" w:rsidRPr="00B148B1">
        <w:rPr>
          <w:rFonts w:ascii="Arial" w:hAnsi="Arial" w:cs="Arial"/>
          <w:sz w:val="24"/>
          <w:szCs w:val="24"/>
          <w:lang w:val="es-MX"/>
        </w:rPr>
        <w:t xml:space="preserve">utilizando </w:t>
      </w:r>
      <w:proofErr w:type="spellStart"/>
      <w:r w:rsidRPr="00B148B1">
        <w:rPr>
          <w:rFonts w:ascii="Arial" w:hAnsi="Arial" w:cs="Arial"/>
          <w:sz w:val="24"/>
          <w:szCs w:val="24"/>
          <w:lang w:val="es-MX"/>
        </w:rPr>
        <w:t>polivinilpirrolidona</w:t>
      </w:r>
      <w:proofErr w:type="spellEnd"/>
      <w:r w:rsidRPr="00B148B1">
        <w:rPr>
          <w:rFonts w:ascii="Arial" w:hAnsi="Arial" w:cs="Arial"/>
          <w:sz w:val="24"/>
          <w:szCs w:val="24"/>
          <w:lang w:val="es-MX"/>
        </w:rPr>
        <w:t xml:space="preserve"> como polímero de</w:t>
      </w:r>
      <w:r w:rsidR="008511A5" w:rsidRPr="00B148B1">
        <w:rPr>
          <w:rFonts w:ascii="Arial" w:hAnsi="Arial" w:cs="Arial"/>
          <w:sz w:val="24"/>
          <w:szCs w:val="24"/>
          <w:lang w:val="es-MX"/>
        </w:rPr>
        <w:t xml:space="preserve"> soporte. El proceso de electro</w:t>
      </w:r>
      <w:r w:rsidRPr="00B148B1">
        <w:rPr>
          <w:rFonts w:ascii="Arial" w:hAnsi="Arial" w:cs="Arial"/>
          <w:sz w:val="24"/>
          <w:szCs w:val="24"/>
          <w:lang w:val="es-MX"/>
        </w:rPr>
        <w:t xml:space="preserve">hilado se realizó a temperatura ambiente usando </w:t>
      </w:r>
      <w:r w:rsidR="008511A5" w:rsidRPr="00B148B1">
        <w:rPr>
          <w:rFonts w:ascii="Arial" w:hAnsi="Arial" w:cs="Arial"/>
          <w:sz w:val="24"/>
          <w:szCs w:val="24"/>
          <w:lang w:val="es-MX"/>
        </w:rPr>
        <w:t>un voltaje</w:t>
      </w:r>
      <w:r w:rsidRPr="00B148B1">
        <w:rPr>
          <w:rFonts w:ascii="Arial" w:hAnsi="Arial" w:cs="Arial"/>
          <w:sz w:val="24"/>
          <w:szCs w:val="24"/>
          <w:lang w:val="es-MX"/>
        </w:rPr>
        <w:t xml:space="preserve"> de </w:t>
      </w:r>
      <w:r w:rsidR="000E172B" w:rsidRPr="00B148B1">
        <w:rPr>
          <w:rFonts w:ascii="Arial" w:hAnsi="Arial" w:cs="Arial"/>
          <w:sz w:val="24"/>
          <w:szCs w:val="24"/>
          <w:lang w:val="es-MX"/>
        </w:rPr>
        <w:t>9</w:t>
      </w:r>
      <w:r w:rsidRPr="00B148B1">
        <w:rPr>
          <w:rFonts w:ascii="Arial" w:hAnsi="Arial" w:cs="Arial"/>
          <w:sz w:val="24"/>
          <w:szCs w:val="24"/>
          <w:lang w:val="es-MX"/>
        </w:rPr>
        <w:t xml:space="preserve"> kV y una velocidad de inyección de </w:t>
      </w:r>
      <w:r w:rsidR="000E172B" w:rsidRPr="00B148B1">
        <w:rPr>
          <w:rFonts w:ascii="Arial" w:hAnsi="Arial" w:cs="Arial"/>
          <w:sz w:val="24"/>
          <w:szCs w:val="24"/>
          <w:lang w:val="es-MX"/>
        </w:rPr>
        <w:t>12 μL/min</w:t>
      </w:r>
      <w:r w:rsidRPr="00B148B1">
        <w:rPr>
          <w:rFonts w:ascii="Arial" w:hAnsi="Arial" w:cs="Arial"/>
          <w:sz w:val="24"/>
          <w:szCs w:val="24"/>
          <w:lang w:val="es-MX"/>
        </w:rPr>
        <w:t xml:space="preserve">. </w:t>
      </w:r>
    </w:p>
    <w:p w14:paraId="70AB3651" w14:textId="65DC4396" w:rsidR="008511A5" w:rsidRPr="00B148B1" w:rsidRDefault="006254FA" w:rsidP="001A0407">
      <w:pPr>
        <w:tabs>
          <w:tab w:val="left" w:pos="8130"/>
        </w:tabs>
        <w:spacing w:line="360" w:lineRule="auto"/>
        <w:jc w:val="both"/>
        <w:rPr>
          <w:rFonts w:ascii="Arial" w:hAnsi="Arial" w:cs="Arial"/>
          <w:i/>
          <w:sz w:val="24"/>
          <w:szCs w:val="24"/>
          <w:lang w:val="es-MX"/>
        </w:rPr>
      </w:pPr>
      <w:r w:rsidRPr="00B148B1">
        <w:rPr>
          <w:rFonts w:ascii="Arial" w:hAnsi="Arial" w:cs="Arial"/>
          <w:i/>
          <w:sz w:val="24"/>
          <w:szCs w:val="24"/>
          <w:lang w:val="es-MX"/>
        </w:rPr>
        <w:t>Palabras Clave:</w:t>
      </w:r>
      <w:r w:rsidR="0018509D" w:rsidRPr="00B148B1">
        <w:rPr>
          <w:rFonts w:ascii="Arial" w:hAnsi="Arial" w:cs="Arial"/>
          <w:i/>
          <w:sz w:val="24"/>
          <w:szCs w:val="24"/>
          <w:lang w:val="es-MX"/>
        </w:rPr>
        <w:t xml:space="preserve"> Titanato de estroncio, fibra, e</w:t>
      </w:r>
      <w:r w:rsidR="00A3767C" w:rsidRPr="00B148B1">
        <w:rPr>
          <w:rFonts w:ascii="Arial" w:hAnsi="Arial" w:cs="Arial"/>
          <w:i/>
          <w:sz w:val="24"/>
          <w:szCs w:val="24"/>
          <w:lang w:val="es-MX"/>
        </w:rPr>
        <w:t xml:space="preserve">lectrohilado, sol-gel. </w:t>
      </w:r>
    </w:p>
    <w:p w14:paraId="734FC453" w14:textId="77777777" w:rsidR="003437F2" w:rsidRPr="00B148B1" w:rsidRDefault="003437F2" w:rsidP="001A0407">
      <w:pPr>
        <w:tabs>
          <w:tab w:val="left" w:pos="8130"/>
        </w:tabs>
        <w:spacing w:line="360" w:lineRule="auto"/>
        <w:jc w:val="both"/>
        <w:rPr>
          <w:rFonts w:ascii="Arial" w:hAnsi="Arial" w:cs="Arial"/>
          <w:b/>
          <w:sz w:val="24"/>
          <w:szCs w:val="24"/>
          <w:lang w:val="es-MX"/>
        </w:rPr>
      </w:pPr>
      <w:r w:rsidRPr="00B148B1">
        <w:rPr>
          <w:rFonts w:ascii="Arial" w:hAnsi="Arial" w:cs="Arial"/>
          <w:b/>
          <w:sz w:val="24"/>
          <w:szCs w:val="24"/>
          <w:lang w:val="es-MX"/>
        </w:rPr>
        <w:t xml:space="preserve">Introducción </w:t>
      </w:r>
    </w:p>
    <w:p w14:paraId="5F70354B" w14:textId="588FC203" w:rsidR="00C2242B" w:rsidRPr="00B148B1" w:rsidRDefault="00493A67" w:rsidP="009969F8">
      <w:pPr>
        <w:spacing w:line="360" w:lineRule="auto"/>
        <w:jc w:val="both"/>
        <w:rPr>
          <w:rFonts w:ascii="Arial" w:hAnsi="Arial" w:cs="Arial"/>
          <w:sz w:val="24"/>
          <w:szCs w:val="24"/>
          <w:lang w:val="es-MX"/>
        </w:rPr>
      </w:pPr>
      <w:r w:rsidRPr="00B148B1">
        <w:rPr>
          <w:rFonts w:ascii="Arial" w:hAnsi="Arial" w:cs="Arial"/>
          <w:sz w:val="24"/>
          <w:szCs w:val="24"/>
          <w:lang w:val="es-MX"/>
        </w:rPr>
        <w:t>Los mater</w:t>
      </w:r>
      <w:r w:rsidR="0018509D" w:rsidRPr="00B148B1">
        <w:rPr>
          <w:rFonts w:ascii="Arial" w:hAnsi="Arial" w:cs="Arial"/>
          <w:sz w:val="24"/>
          <w:szCs w:val="24"/>
          <w:lang w:val="es-MX"/>
        </w:rPr>
        <w:t>iales han evolucionado junto</w:t>
      </w:r>
      <w:r w:rsidRPr="00B148B1">
        <w:rPr>
          <w:rFonts w:ascii="Arial" w:hAnsi="Arial" w:cs="Arial"/>
          <w:sz w:val="24"/>
          <w:szCs w:val="24"/>
          <w:lang w:val="es-MX"/>
        </w:rPr>
        <w:t xml:space="preserve"> a los procesos realizados por el hombre y continuarán haciéndolo a lo largo de su historia. Los materiales se adecuan a las necesidades del hombre </w:t>
      </w:r>
      <w:r w:rsidRPr="00B148B1">
        <w:rPr>
          <w:rFonts w:ascii="Arial" w:hAnsi="Arial" w:cs="Arial"/>
          <w:sz w:val="24"/>
          <w:szCs w:val="24"/>
        </w:rPr>
        <w:fldChar w:fldCharType="begin" w:fldLock="1"/>
      </w:r>
      <w:r w:rsidR="0008723D" w:rsidRPr="00B148B1">
        <w:rPr>
          <w:rFonts w:ascii="Arial" w:hAnsi="Arial" w:cs="Arial"/>
          <w:sz w:val="24"/>
          <w:szCs w:val="24"/>
          <w:lang w:val="es-MX"/>
        </w:rPr>
        <w:instrText>ADDIN CSL_CITATION { "citationItems" : [ { "id" : "ITEM-1", "itemData" : { "author" : [ { "dropping-particle" : "", "family" : "Smith", "given" : "W.", "non-dropping-particle" : "", "parse-names" : false, "suffix" : "" }, { "dropping-particle" : "", "family" : "Hashemi", "given" : "J.", "non-dropping-particle" : "", "parse-names" : false, "suffix" : "" } ], "edition" : "primera", "id" : "ITEM-1", "issued" : { "date-parts" : [ [ "2004" ] ] }, "publisher" : "McGrawHill", "publisher-place" : "Mexico", "title" : "Fundamentos de la ciencia e ingenieria de materiales", "type" : "book" }, "uris" : [ "http://www.mendeley.com/documents/?uuid=7330a790-2b11-413c-91c0-1f8d118de87a" ] } ], "mendeley" : { "formattedCitation" : "(Smith &amp; Hashemi, 2004)", "manualFormatting" : "(Smith y Hashemi, 2004)", "plainTextFormattedCitation" : "(Smith &amp; Hashemi, 2004)", "previouslyFormattedCitation" : "(Smith &amp; Hashemi, 2004)" }, "properties" : { "noteIndex" : 0 }, "schema" : "https://github.com/citation-style-language/schema/raw/master/csl-citation.json" }</w:instrText>
      </w:r>
      <w:r w:rsidRPr="00B148B1">
        <w:rPr>
          <w:rFonts w:ascii="Arial" w:hAnsi="Arial" w:cs="Arial"/>
          <w:sz w:val="24"/>
          <w:szCs w:val="24"/>
        </w:rPr>
        <w:fldChar w:fldCharType="separate"/>
      </w:r>
      <w:r w:rsidRPr="00B148B1">
        <w:rPr>
          <w:rFonts w:ascii="Arial" w:hAnsi="Arial" w:cs="Arial"/>
          <w:noProof/>
          <w:sz w:val="24"/>
          <w:szCs w:val="24"/>
          <w:lang w:val="es-MX"/>
        </w:rPr>
        <w:t xml:space="preserve">(Smith </w:t>
      </w:r>
      <w:r w:rsidR="0008723D" w:rsidRPr="00B148B1">
        <w:rPr>
          <w:rFonts w:ascii="Arial" w:hAnsi="Arial" w:cs="Arial"/>
          <w:noProof/>
          <w:sz w:val="24"/>
          <w:szCs w:val="24"/>
          <w:lang w:val="es-MX"/>
        </w:rPr>
        <w:t>y</w:t>
      </w:r>
      <w:r w:rsidRPr="00B148B1">
        <w:rPr>
          <w:rFonts w:ascii="Arial" w:hAnsi="Arial" w:cs="Arial"/>
          <w:noProof/>
          <w:sz w:val="24"/>
          <w:szCs w:val="24"/>
          <w:lang w:val="es-MX"/>
        </w:rPr>
        <w:t xml:space="preserve"> Hashemi, 2004)</w:t>
      </w:r>
      <w:r w:rsidRPr="00B148B1">
        <w:rPr>
          <w:rFonts w:ascii="Arial" w:hAnsi="Arial" w:cs="Arial"/>
          <w:sz w:val="24"/>
          <w:szCs w:val="24"/>
        </w:rPr>
        <w:fldChar w:fldCharType="end"/>
      </w:r>
      <w:r w:rsidR="00C2242B" w:rsidRPr="00B148B1">
        <w:rPr>
          <w:rFonts w:ascii="Arial" w:hAnsi="Arial" w:cs="Arial"/>
          <w:sz w:val="24"/>
          <w:szCs w:val="24"/>
          <w:lang w:val="es-MX"/>
        </w:rPr>
        <w:t xml:space="preserve">. </w:t>
      </w:r>
      <w:r w:rsidRPr="00B148B1">
        <w:rPr>
          <w:rFonts w:ascii="Arial" w:hAnsi="Arial" w:cs="Arial"/>
          <w:sz w:val="24"/>
          <w:szCs w:val="24"/>
          <w:lang w:val="es-MX"/>
        </w:rPr>
        <w:t xml:space="preserve">Para realizar su función un material durante su ciclo de </w:t>
      </w:r>
      <w:r w:rsidR="001A0407" w:rsidRPr="00B148B1">
        <w:rPr>
          <w:rFonts w:ascii="Arial" w:hAnsi="Arial" w:cs="Arial"/>
          <w:sz w:val="24"/>
          <w:szCs w:val="24"/>
          <w:lang w:val="es-MX"/>
        </w:rPr>
        <w:t>vida</w:t>
      </w:r>
      <w:r w:rsidRPr="00B148B1">
        <w:rPr>
          <w:rFonts w:ascii="Arial" w:hAnsi="Arial" w:cs="Arial"/>
          <w:sz w:val="24"/>
          <w:szCs w:val="24"/>
          <w:lang w:val="es-MX"/>
        </w:rPr>
        <w:t xml:space="preserve"> debe tener la forma correcta. Por ello</w:t>
      </w:r>
      <w:r w:rsidR="0018509D" w:rsidRPr="00B148B1">
        <w:rPr>
          <w:rFonts w:ascii="Arial" w:hAnsi="Arial" w:cs="Arial"/>
          <w:sz w:val="24"/>
          <w:szCs w:val="24"/>
          <w:lang w:val="es-MX"/>
        </w:rPr>
        <w:t>,</w:t>
      </w:r>
      <w:r w:rsidRPr="00B148B1">
        <w:rPr>
          <w:rFonts w:ascii="Arial" w:hAnsi="Arial" w:cs="Arial"/>
          <w:sz w:val="24"/>
          <w:szCs w:val="24"/>
          <w:lang w:val="es-MX"/>
        </w:rPr>
        <w:t xml:space="preserve"> debe de considerar la estructura interna del material, su procesamiento y sus propiedades finales </w:t>
      </w:r>
      <w:r w:rsidRPr="00B148B1">
        <w:rPr>
          <w:rFonts w:ascii="Arial" w:hAnsi="Arial" w:cs="Arial"/>
          <w:sz w:val="24"/>
          <w:szCs w:val="24"/>
        </w:rPr>
        <w:fldChar w:fldCharType="begin" w:fldLock="1"/>
      </w:r>
      <w:r w:rsidRPr="00B148B1">
        <w:rPr>
          <w:rFonts w:ascii="Arial" w:hAnsi="Arial" w:cs="Arial"/>
          <w:sz w:val="24"/>
          <w:szCs w:val="24"/>
          <w:lang w:val="es-MX"/>
        </w:rPr>
        <w:instrText>ADDIN CSL_CITATION { "citationItems" : [ { "id" : "ITEM-1", "itemData" : { "DOI" : "10.1017/CBO9781107415324.004", "ISBN" : "9687529369", "ISSN" : "1098-6596", "PMID" : "25246403", "abstract" : "El libro, tercera edici\u00f3n, contin\u00faa con la idea general de las ediciones anteriores de dar a comprender la relaci\u00f3n existente entre estructura, procesamiento y propiedades de los materiales.", "author" : [ { "dropping-particle" : "", "family" : "Askeland", "given" : "", "non-dropping-particle" : "", "parse-names" : false, "suffix" : "" } ], "container-title" : "Ciencia e ingenieria de los materiales", "id" : "ITEM-1", "issued" : { "date-parts" : [ [ "2005" ] ] }, "page" : "400-440", "title" : "Materiales Cer\u00e1micos", "type" : "article" }, "uris" : [ "http://www.mendeley.com/documents/?uuid=80c5d113-bfee-46ae-91ef-147f80b05f1f" ] } ], "mendeley" : { "formattedCitation" : "(Askeland, 2005)", "plainTextFormattedCitation" : "(Askeland, 2005)", "previouslyFormattedCitation" : "(Askeland, 2005)" }, "properties" : { "noteIndex" : 0 }, "schema" : "https://github.com/citation-style-language/schema/raw/master/csl-citation.json" }</w:instrText>
      </w:r>
      <w:r w:rsidRPr="00B148B1">
        <w:rPr>
          <w:rFonts w:ascii="Arial" w:hAnsi="Arial" w:cs="Arial"/>
          <w:sz w:val="24"/>
          <w:szCs w:val="24"/>
        </w:rPr>
        <w:fldChar w:fldCharType="separate"/>
      </w:r>
      <w:r w:rsidRPr="00B148B1">
        <w:rPr>
          <w:rFonts w:ascii="Arial" w:hAnsi="Arial" w:cs="Arial"/>
          <w:noProof/>
          <w:sz w:val="24"/>
          <w:szCs w:val="24"/>
          <w:lang w:val="es-MX"/>
        </w:rPr>
        <w:t>(Askeland, 2005)</w:t>
      </w:r>
      <w:r w:rsidRPr="00B148B1">
        <w:rPr>
          <w:rFonts w:ascii="Arial" w:hAnsi="Arial" w:cs="Arial"/>
          <w:sz w:val="24"/>
          <w:szCs w:val="24"/>
        </w:rPr>
        <w:fldChar w:fldCharType="end"/>
      </w:r>
      <w:r w:rsidRPr="00B148B1">
        <w:rPr>
          <w:rFonts w:ascii="Arial" w:hAnsi="Arial" w:cs="Arial"/>
          <w:sz w:val="24"/>
          <w:szCs w:val="24"/>
          <w:lang w:val="es-MX"/>
        </w:rPr>
        <w:t>.</w:t>
      </w:r>
      <w:r w:rsidR="009969F8" w:rsidRPr="00B148B1">
        <w:rPr>
          <w:rFonts w:ascii="Arial" w:hAnsi="Arial" w:cs="Arial"/>
          <w:sz w:val="24"/>
          <w:szCs w:val="24"/>
          <w:lang w:val="es-MX"/>
        </w:rPr>
        <w:t xml:space="preserve"> </w:t>
      </w:r>
      <w:r w:rsidR="00A64C9A" w:rsidRPr="00B148B1">
        <w:rPr>
          <w:rFonts w:ascii="Arial" w:hAnsi="Arial" w:cs="Arial"/>
          <w:sz w:val="24"/>
          <w:szCs w:val="24"/>
          <w:lang w:val="es-MX"/>
        </w:rPr>
        <w:t xml:space="preserve">Los materiales con propiedades ferroeléctricos constituyen una subclase de los </w:t>
      </w:r>
      <w:r w:rsidR="00A64C9A" w:rsidRPr="00B148B1">
        <w:rPr>
          <w:rFonts w:ascii="Arial" w:hAnsi="Arial" w:cs="Arial"/>
          <w:sz w:val="24"/>
          <w:szCs w:val="24"/>
          <w:lang w:val="es-MX"/>
        </w:rPr>
        <w:lastRenderedPageBreak/>
        <w:t>materiales piezoeléctricos</w:t>
      </w:r>
      <w:r w:rsidR="009969F8" w:rsidRPr="00B148B1">
        <w:rPr>
          <w:rFonts w:ascii="Arial" w:hAnsi="Arial" w:cs="Arial"/>
          <w:sz w:val="24"/>
          <w:szCs w:val="24"/>
          <w:lang w:val="es-MX"/>
        </w:rPr>
        <w:t>, ell</w:t>
      </w:r>
      <w:r w:rsidR="00A64C9A" w:rsidRPr="00B148B1">
        <w:rPr>
          <w:rFonts w:ascii="Arial" w:hAnsi="Arial" w:cs="Arial"/>
          <w:sz w:val="24"/>
          <w:szCs w:val="24"/>
          <w:lang w:val="es-MX"/>
        </w:rPr>
        <w:t>os presentan una deformación mecánica cuando son expuestos a un voltaje o son cargados. Cuando se deforman presentan una variedad de propiedades funcionales entre las que destacan su alta polarización eléctrica, actividad óptica no lineal y un comportamiento no lineal dieléctrico. Dichas propiedades son indispensables para su aplicación en diversos dispositivos electrónicos como sensores, detectores infrarrojos, filtros de microondas entre otros</w:t>
      </w:r>
      <w:r w:rsidR="00950631" w:rsidRPr="00B148B1">
        <w:rPr>
          <w:rFonts w:ascii="Arial" w:hAnsi="Arial" w:cs="Arial"/>
          <w:sz w:val="24"/>
          <w:szCs w:val="24"/>
          <w:lang w:val="es-MX"/>
        </w:rPr>
        <w:t>.</w:t>
      </w:r>
      <w:r w:rsidR="00A64C9A" w:rsidRPr="00B148B1">
        <w:rPr>
          <w:rFonts w:ascii="Arial" w:hAnsi="Arial" w:cs="Arial"/>
          <w:sz w:val="24"/>
          <w:szCs w:val="24"/>
          <w:lang w:val="es-MX"/>
        </w:rPr>
        <w:t xml:space="preserve"> Al aplicar una corriente eléctrica a un material que contiene Ti++ este es atraído por el polo negativo produciendo un almacenamiento de carga que provoca un aumento en la carga dieléctrica, esta característica es principalmente presentada por materiales cerámicos los cuales </w:t>
      </w:r>
      <w:r w:rsidR="00B03AE4" w:rsidRPr="00B148B1">
        <w:rPr>
          <w:rFonts w:ascii="Arial" w:hAnsi="Arial" w:cs="Arial"/>
          <w:sz w:val="24"/>
          <w:szCs w:val="24"/>
          <w:lang w:val="es-MX"/>
        </w:rPr>
        <w:t>están organizados en dominios aún</w:t>
      </w:r>
      <w:r w:rsidR="00A64C9A" w:rsidRPr="00B148B1">
        <w:rPr>
          <w:rFonts w:ascii="Arial" w:hAnsi="Arial" w:cs="Arial"/>
          <w:sz w:val="24"/>
          <w:szCs w:val="24"/>
          <w:lang w:val="es-MX"/>
        </w:rPr>
        <w:t xml:space="preserve"> antes de aplicar un campo eléctrico</w:t>
      </w:r>
      <w:r w:rsidR="0023302A" w:rsidRPr="00B148B1">
        <w:rPr>
          <w:rFonts w:ascii="Arial" w:hAnsi="Arial" w:cs="Arial"/>
          <w:sz w:val="24"/>
          <w:szCs w:val="24"/>
          <w:lang w:val="es-MX"/>
        </w:rPr>
        <w:t xml:space="preserve"> </w:t>
      </w:r>
      <w:r w:rsidR="0023302A" w:rsidRPr="00B148B1">
        <w:rPr>
          <w:rFonts w:ascii="Arial" w:hAnsi="Arial" w:cs="Arial"/>
          <w:sz w:val="24"/>
          <w:szCs w:val="24"/>
          <w:lang w:val="es-MX"/>
        </w:rPr>
        <w:fldChar w:fldCharType="begin" w:fldLock="1"/>
      </w:r>
      <w:r w:rsidR="0023302A" w:rsidRPr="00B148B1">
        <w:rPr>
          <w:rFonts w:ascii="Arial" w:hAnsi="Arial" w:cs="Arial"/>
          <w:sz w:val="24"/>
          <w:szCs w:val="24"/>
          <w:lang w:val="es-MX"/>
        </w:rPr>
        <w:instrText>ADDIN CSL_CITATION { "citationItems" : [ { "id" : "ITEM-1", "itemData" : { "abstract" : "En este art\u00edculo se presenta una revisi\u00f3n de los conceptos de piezoelectricidad y ferroelectricidad, as\u00ed como sus aplicaciones en materiales complejos e h\u00edbridos org\u00e1nico-inorg\u00e1nicos mediante el uso de las t\u00e9cnicas de microscop\u00eda de fuerza at\u00f3mica (AFM) y de fuerza de piezorespuesta (PFM). Aunque este tipo de estudios son escasos en las \u00e1reas biol\u00f3gicas, se sugiere el uso de estas t\u00e9cnicas para analizar las propiedades de piezorespuesta en p\u00e9ptidos debido a su relevancia en las reacciones prebi\u00f3ticaspero y en el dise\u00f1o de m\u00e1quinas nanomoleculares.", "author" : [ { "dropping-particle" : "", "family" : "Heredia", "given" : "Alejandro", "non-dropping-particle" : "", "parse-names" : false, "suffix" : "" }, { "dropping-particle" : "", "family" : "Bdikin", "given" : "Igor", "non-dropping-particle" : "", "parse-names" : false, "suffix" : "" }, { "dropping-particle" : "", "family" : "Col\u00edn-Garc\u00eda", "given" : "Mar\u00eda", "non-dropping-particle" : "", "parse-names" : false, "suffix" : "" } ], "container-title" : "La Granja, Revista de ciencias de la vida", "id" : "ITEM-1", "issue" : "2", "issued" : { "date-parts" : [ [ "2011" ] ] }, "page" : "3-12", "title" : "Piezoelectricidad y ferroelectricidad en biomateriales", "type" : "article-journal", "volume" : "14" }, "uris" : [ "http://www.mendeley.com/documents/?uuid=50a8a57d-edf2-430b-8841-b5d093372390" ] } ], "mendeley" : { "formattedCitation" : "(Heredia, Bdikin, &amp; Col\u00edn-Garc\u00eda, 2011)", "manualFormatting" : "(Heredia, et al., 2011)", "plainTextFormattedCitation" : "(Heredia, Bdikin, &amp; Col\u00edn-Garc\u00eda, 2011)", "previouslyFormattedCitation" : "(Heredia, Bdikin, &amp; Col\u00edn-Garc\u00eda, 2011)" }, "properties" : { "noteIndex" : 0 }, "schema" : "https://github.com/citation-style-language/schema/raw/master/csl-citation.json" }</w:instrText>
      </w:r>
      <w:r w:rsidR="0023302A" w:rsidRPr="00B148B1">
        <w:rPr>
          <w:rFonts w:ascii="Arial" w:hAnsi="Arial" w:cs="Arial"/>
          <w:sz w:val="24"/>
          <w:szCs w:val="24"/>
          <w:lang w:val="es-MX"/>
        </w:rPr>
        <w:fldChar w:fldCharType="separate"/>
      </w:r>
      <w:r w:rsidR="0023302A" w:rsidRPr="00B148B1">
        <w:rPr>
          <w:rFonts w:ascii="Arial" w:hAnsi="Arial" w:cs="Arial"/>
          <w:noProof/>
          <w:sz w:val="24"/>
          <w:szCs w:val="24"/>
          <w:lang w:val="es-MX"/>
        </w:rPr>
        <w:t xml:space="preserve">(Heredia, </w:t>
      </w:r>
      <w:r w:rsidR="0023302A" w:rsidRPr="00B148B1">
        <w:rPr>
          <w:rFonts w:ascii="Arial" w:hAnsi="Arial" w:cs="Arial"/>
          <w:i/>
          <w:noProof/>
          <w:sz w:val="24"/>
          <w:szCs w:val="24"/>
          <w:lang w:val="es-MX"/>
        </w:rPr>
        <w:t>et al.,</w:t>
      </w:r>
      <w:r w:rsidR="0023302A" w:rsidRPr="00B148B1">
        <w:rPr>
          <w:rFonts w:ascii="Arial" w:hAnsi="Arial" w:cs="Arial"/>
          <w:noProof/>
          <w:sz w:val="24"/>
          <w:szCs w:val="24"/>
          <w:lang w:val="es-MX"/>
        </w:rPr>
        <w:t xml:space="preserve"> 2011)</w:t>
      </w:r>
      <w:r w:rsidR="0023302A" w:rsidRPr="00B148B1">
        <w:rPr>
          <w:rFonts w:ascii="Arial" w:hAnsi="Arial" w:cs="Arial"/>
          <w:sz w:val="24"/>
          <w:szCs w:val="24"/>
          <w:lang w:val="es-MX"/>
        </w:rPr>
        <w:fldChar w:fldCharType="end"/>
      </w:r>
      <w:r w:rsidR="00A64C9A" w:rsidRPr="00B148B1">
        <w:rPr>
          <w:rFonts w:ascii="Arial" w:hAnsi="Arial" w:cs="Arial"/>
          <w:sz w:val="24"/>
          <w:szCs w:val="24"/>
          <w:lang w:val="es-MX"/>
        </w:rPr>
        <w:t>.</w:t>
      </w:r>
    </w:p>
    <w:p w14:paraId="582A2D84" w14:textId="39CF41D4" w:rsidR="000D257D" w:rsidRPr="00B148B1" w:rsidRDefault="00B03AE4" w:rsidP="001A0407">
      <w:pPr>
        <w:spacing w:line="360" w:lineRule="auto"/>
        <w:jc w:val="both"/>
        <w:rPr>
          <w:rFonts w:ascii="Arial" w:hAnsi="Arial" w:cs="Arial"/>
          <w:sz w:val="24"/>
          <w:szCs w:val="24"/>
          <w:lang w:val="es-MX" w:eastAsia="es-ES"/>
        </w:rPr>
      </w:pPr>
      <w:r w:rsidRPr="00B148B1">
        <w:rPr>
          <w:rFonts w:ascii="Arial" w:hAnsi="Arial" w:cs="Arial"/>
          <w:sz w:val="24"/>
          <w:szCs w:val="24"/>
          <w:lang w:val="es-MX"/>
        </w:rPr>
        <w:t xml:space="preserve">El titanato de estroncio </w:t>
      </w:r>
      <w:r w:rsidR="00894DDE" w:rsidRPr="00B148B1">
        <w:rPr>
          <w:rFonts w:ascii="Arial" w:hAnsi="Arial" w:cs="Arial"/>
          <w:sz w:val="24"/>
          <w:szCs w:val="24"/>
          <w:lang w:val="es-MX"/>
        </w:rPr>
        <w:t xml:space="preserve">es un material cerámico </w:t>
      </w:r>
      <w:r w:rsidR="00894DDE">
        <w:rPr>
          <w:rFonts w:ascii="Arial" w:hAnsi="Arial" w:cs="Arial"/>
          <w:sz w:val="24"/>
          <w:szCs w:val="24"/>
          <w:lang w:val="es-MX"/>
        </w:rPr>
        <w:t>de</w:t>
      </w:r>
      <w:r w:rsidRPr="00B148B1">
        <w:rPr>
          <w:rFonts w:ascii="Arial" w:hAnsi="Arial" w:cs="Arial"/>
          <w:sz w:val="24"/>
          <w:szCs w:val="24"/>
          <w:lang w:val="es-MX"/>
        </w:rPr>
        <w:t xml:space="preserve"> óxido</w:t>
      </w:r>
      <w:r w:rsidR="00475FF2" w:rsidRPr="00B148B1">
        <w:rPr>
          <w:rFonts w:ascii="Arial" w:hAnsi="Arial" w:cs="Arial"/>
          <w:sz w:val="24"/>
          <w:szCs w:val="24"/>
          <w:lang w:val="es-MX"/>
        </w:rPr>
        <w:t xml:space="preserve"> de estroncio y titanio, con modelo de perovskita que prese</w:t>
      </w:r>
      <w:r w:rsidRPr="00B148B1">
        <w:rPr>
          <w:rFonts w:ascii="Arial" w:hAnsi="Arial" w:cs="Arial"/>
          <w:sz w:val="24"/>
          <w:szCs w:val="24"/>
          <w:lang w:val="es-MX"/>
        </w:rPr>
        <w:t>nta una estructura cristalina cúbica</w:t>
      </w:r>
      <w:r w:rsidR="00475FF2" w:rsidRPr="00B148B1">
        <w:rPr>
          <w:rFonts w:ascii="Arial" w:hAnsi="Arial" w:cs="Arial"/>
          <w:sz w:val="24"/>
          <w:szCs w:val="24"/>
          <w:lang w:val="es-MX"/>
        </w:rPr>
        <w:t xml:space="preserve">, es estable a temperaturas </w:t>
      </w:r>
      <w:r w:rsidR="0031739E" w:rsidRPr="00B148B1">
        <w:rPr>
          <w:rFonts w:ascii="Arial" w:hAnsi="Arial" w:cs="Arial"/>
          <w:sz w:val="24"/>
          <w:szCs w:val="24"/>
          <w:lang w:val="es-MX"/>
        </w:rPr>
        <w:t>superiores</w:t>
      </w:r>
      <w:r w:rsidR="00475FF2" w:rsidRPr="00B148B1">
        <w:rPr>
          <w:rFonts w:ascii="Arial" w:hAnsi="Arial" w:cs="Arial"/>
          <w:sz w:val="24"/>
          <w:szCs w:val="24"/>
          <w:lang w:val="es-MX"/>
        </w:rPr>
        <w:t xml:space="preserve"> a </w:t>
      </w:r>
      <w:r w:rsidR="0031739E" w:rsidRPr="00B148B1">
        <w:rPr>
          <w:rFonts w:ascii="Arial" w:hAnsi="Arial" w:cs="Arial"/>
          <w:sz w:val="24"/>
          <w:szCs w:val="24"/>
          <w:lang w:val="es-MX"/>
        </w:rPr>
        <w:t>-</w:t>
      </w:r>
      <w:r w:rsidR="00475FF2" w:rsidRPr="00B148B1">
        <w:rPr>
          <w:rFonts w:ascii="Arial" w:hAnsi="Arial" w:cs="Arial"/>
          <w:sz w:val="24"/>
          <w:szCs w:val="24"/>
          <w:lang w:val="es-MX"/>
        </w:rPr>
        <w:t xml:space="preserve">168 °C </w:t>
      </w:r>
      <w:r w:rsidR="00475FF2" w:rsidRPr="00B148B1">
        <w:rPr>
          <w:rFonts w:ascii="Arial" w:hAnsi="Arial" w:cs="Arial"/>
          <w:sz w:val="24"/>
          <w:szCs w:val="24"/>
        </w:rPr>
        <w:fldChar w:fldCharType="begin" w:fldLock="1"/>
      </w:r>
      <w:r w:rsidR="00475FF2" w:rsidRPr="00B148B1">
        <w:rPr>
          <w:rFonts w:ascii="Arial" w:hAnsi="Arial" w:cs="Arial"/>
          <w:sz w:val="24"/>
          <w:szCs w:val="24"/>
          <w:lang w:val="es-MX"/>
        </w:rPr>
        <w:instrText>ADDIN CSL_CITATION { "citationItems" : [ { "id" : "ITEM-1", "itemData" : { "author" : [ { "dropping-particle" : "", "family" : "Syha", "given" : "M.", "non-dropping-particle" : "", "parse-names" : false, "suffix" : "" } ], "id" : "ITEM-1", "issued" : { "date-parts" : [ [ "2014" ] ] }, "publisher" : "KIT scientific publishing .", "publisher-place" : "Alemania", "title" : "Microstructureevolution in strontium titanate", "type" : "book" }, "uris" : [ "http://www.mendeley.com/documents/?uuid=d73c26fd-46f8-4259-a2d9-e1353f14569c" ] } ], "mendeley" : { "formattedCitation" : "(Syha, 2014)", "plainTextFormattedCitation" : "(Syha, 2014)", "previouslyFormattedCitation" : "(Syha, 2014)" }, "properties" : { "noteIndex" : 0 }, "schema" : "https://github.com/citation-style-language/schema/raw/master/csl-citation.json" }</w:instrText>
      </w:r>
      <w:r w:rsidR="00475FF2" w:rsidRPr="00B148B1">
        <w:rPr>
          <w:rFonts w:ascii="Arial" w:hAnsi="Arial" w:cs="Arial"/>
          <w:sz w:val="24"/>
          <w:szCs w:val="24"/>
        </w:rPr>
        <w:fldChar w:fldCharType="separate"/>
      </w:r>
      <w:r w:rsidR="00475FF2" w:rsidRPr="00B148B1">
        <w:rPr>
          <w:rFonts w:ascii="Arial" w:hAnsi="Arial" w:cs="Arial"/>
          <w:noProof/>
          <w:sz w:val="24"/>
          <w:szCs w:val="24"/>
          <w:lang w:val="es-MX"/>
        </w:rPr>
        <w:t>(Syha, 2014)</w:t>
      </w:r>
      <w:r w:rsidR="00475FF2" w:rsidRPr="00B148B1">
        <w:rPr>
          <w:rFonts w:ascii="Arial" w:hAnsi="Arial" w:cs="Arial"/>
          <w:sz w:val="24"/>
          <w:szCs w:val="24"/>
        </w:rPr>
        <w:fldChar w:fldCharType="end"/>
      </w:r>
      <w:r w:rsidR="00475FF2" w:rsidRPr="00B148B1">
        <w:rPr>
          <w:rFonts w:ascii="Arial" w:hAnsi="Arial" w:cs="Arial"/>
          <w:sz w:val="24"/>
          <w:szCs w:val="24"/>
          <w:lang w:val="es-MX"/>
        </w:rPr>
        <w:t xml:space="preserve">. </w:t>
      </w:r>
      <w:r w:rsidR="000D257D" w:rsidRPr="00B148B1">
        <w:rPr>
          <w:rFonts w:ascii="Arial" w:hAnsi="Arial" w:cs="Arial"/>
          <w:sz w:val="24"/>
          <w:szCs w:val="24"/>
          <w:lang w:val="es-MX"/>
        </w:rPr>
        <w:t xml:space="preserve">El titanato de estroncio es un material </w:t>
      </w:r>
      <w:r w:rsidRPr="00B148B1">
        <w:rPr>
          <w:rFonts w:ascii="Arial" w:hAnsi="Arial" w:cs="Arial"/>
          <w:sz w:val="24"/>
          <w:szCs w:val="24"/>
          <w:lang w:val="es-MX" w:eastAsia="es-ES"/>
        </w:rPr>
        <w:t xml:space="preserve">con propiedades </w:t>
      </w:r>
      <w:proofErr w:type="spellStart"/>
      <w:r w:rsidRPr="00B148B1">
        <w:rPr>
          <w:rFonts w:ascii="Arial" w:hAnsi="Arial" w:cs="Arial"/>
          <w:sz w:val="24"/>
          <w:szCs w:val="24"/>
          <w:lang w:val="es-MX" w:eastAsia="es-ES"/>
        </w:rPr>
        <w:t>fotocatalí</w:t>
      </w:r>
      <w:r w:rsidR="000D257D" w:rsidRPr="00B148B1">
        <w:rPr>
          <w:rFonts w:ascii="Arial" w:hAnsi="Arial" w:cs="Arial"/>
          <w:sz w:val="24"/>
          <w:szCs w:val="24"/>
          <w:lang w:val="es-MX" w:eastAsia="es-ES"/>
        </w:rPr>
        <w:t>ticas</w:t>
      </w:r>
      <w:proofErr w:type="spellEnd"/>
      <w:r w:rsidR="000D257D" w:rsidRPr="00B148B1">
        <w:rPr>
          <w:rFonts w:ascii="Arial" w:hAnsi="Arial" w:cs="Arial"/>
          <w:sz w:val="24"/>
          <w:szCs w:val="24"/>
          <w:lang w:val="es-MX" w:eastAsia="es-ES"/>
        </w:rPr>
        <w:t xml:space="preserve">, además de sus propiedades eléctricas ampliamente estudiadas, cuenta con una excelente estabilidad térmica, una alta capacidad para la prevención de la </w:t>
      </w:r>
      <w:proofErr w:type="spellStart"/>
      <w:r w:rsidR="0031739E" w:rsidRPr="00B148B1">
        <w:rPr>
          <w:rFonts w:ascii="Arial" w:hAnsi="Arial" w:cs="Arial"/>
          <w:sz w:val="24"/>
          <w:szCs w:val="24"/>
          <w:lang w:val="es-MX" w:eastAsia="es-ES"/>
        </w:rPr>
        <w:t>fotocorrosión</w:t>
      </w:r>
      <w:proofErr w:type="spellEnd"/>
      <w:r w:rsidR="000D257D" w:rsidRPr="00B148B1">
        <w:rPr>
          <w:rFonts w:ascii="Arial" w:hAnsi="Arial" w:cs="Arial"/>
          <w:sz w:val="24"/>
          <w:szCs w:val="24"/>
          <w:lang w:val="es-MX" w:eastAsia="es-ES"/>
        </w:rPr>
        <w:t xml:space="preserve"> y una gran estabilidad estructural</w:t>
      </w:r>
      <w:r w:rsidR="0031739E" w:rsidRPr="00B148B1">
        <w:rPr>
          <w:rFonts w:ascii="Arial" w:hAnsi="Arial" w:cs="Arial"/>
          <w:sz w:val="24"/>
          <w:szCs w:val="24"/>
          <w:lang w:val="es-MX" w:eastAsia="es-ES"/>
        </w:rPr>
        <w:t>,</w:t>
      </w:r>
      <w:r w:rsidR="000D257D" w:rsidRPr="00B148B1">
        <w:rPr>
          <w:rFonts w:ascii="Arial" w:hAnsi="Arial" w:cs="Arial"/>
          <w:sz w:val="24"/>
          <w:szCs w:val="24"/>
          <w:lang w:val="es-MX" w:eastAsia="es-ES"/>
        </w:rPr>
        <w:t xml:space="preserve"> </w:t>
      </w:r>
      <w:r w:rsidR="0031739E" w:rsidRPr="00B148B1">
        <w:rPr>
          <w:rFonts w:ascii="Arial" w:hAnsi="Arial" w:cs="Arial"/>
          <w:sz w:val="24"/>
          <w:szCs w:val="24"/>
          <w:lang w:val="es-MX" w:eastAsia="es-ES"/>
        </w:rPr>
        <w:t>además</w:t>
      </w:r>
      <w:r w:rsidR="000D257D" w:rsidRPr="00B148B1">
        <w:rPr>
          <w:rFonts w:ascii="Arial" w:hAnsi="Arial" w:cs="Arial"/>
          <w:sz w:val="24"/>
          <w:szCs w:val="24"/>
          <w:lang w:val="es-MX" w:eastAsia="es-ES"/>
        </w:rPr>
        <w:t xml:space="preserve"> puede ser dopada con diversos iones metálicos </w:t>
      </w:r>
      <w:r w:rsidR="000D257D" w:rsidRPr="00B148B1">
        <w:rPr>
          <w:rFonts w:ascii="Arial" w:hAnsi="Arial" w:cs="Arial"/>
          <w:sz w:val="24"/>
          <w:szCs w:val="24"/>
          <w:lang w:eastAsia="es-ES"/>
        </w:rPr>
        <w:fldChar w:fldCharType="begin" w:fldLock="1"/>
      </w:r>
      <w:r w:rsidR="0008723D" w:rsidRPr="00B148B1">
        <w:rPr>
          <w:rFonts w:ascii="Arial" w:hAnsi="Arial" w:cs="Arial"/>
          <w:sz w:val="24"/>
          <w:szCs w:val="24"/>
          <w:lang w:val="es-MX" w:eastAsia="es-ES"/>
        </w:rPr>
        <w:instrText>ADDIN CSL_CITATION { "citationItems" : [ { "id" : "ITEM-1", "itemData" : { "DOI" : "10.1557/jmr.2013.259", "ISSN" : "0884-2914", "author" : [ { "dropping-particle" : "", "family" : "Macaraig", "given" : "Lea", "non-dropping-particle" : "", "parse-names" : false, "suffix" : "" }, { "dropping-particle" : "", "family" : "Chuangchote", "given" : "Surawut", "non-dropping-particle" : "", "parse-names" : false, "suffix" : "" }, { "dropping-particle" : "", "family" : "Sagawa", "given" : "Takashi", "non-dropping-particle" : "", "parse-names" : false, "suffix" : "" } ], "container-title" : "Journal of Materials Research", "id" : "ITEM-1", "issue" : "01", "issued" : { "date-parts" : [ [ "2013" ] ] }, "page" : "123-130", "title" : "Electrospun SrTiO3 nanofibers for photocatalytic hydrogen generation", "type" : "article-journal", "volume" : "29" }, "uris" : [ "http://www.mendeley.com/documents/?uuid=79589930-a406-4229-ad3b-fd7392e8fb8e" ] } ], "mendeley" : { "formattedCitation" : "(Macaraig, Chuangchote, &amp; Sagawa, 2013)", "manualFormatting" : "(Macaraig, et al., 2013)", "plainTextFormattedCitation" : "(Macaraig, Chuangchote, &amp; Sagawa, 2013)", "previouslyFormattedCitation" : "(Macaraig, Chuangchote, &amp; Sagawa, 2013)" }, "properties" : { "noteIndex" : 0 }, "schema" : "https://github.com/citation-style-language/schema/raw/master/csl-citation.json" }</w:instrText>
      </w:r>
      <w:r w:rsidR="000D257D" w:rsidRPr="00B148B1">
        <w:rPr>
          <w:rFonts w:ascii="Arial" w:hAnsi="Arial" w:cs="Arial"/>
          <w:sz w:val="24"/>
          <w:szCs w:val="24"/>
          <w:lang w:eastAsia="es-ES"/>
        </w:rPr>
        <w:fldChar w:fldCharType="separate"/>
      </w:r>
      <w:r w:rsidR="000D257D" w:rsidRPr="00B148B1">
        <w:rPr>
          <w:rFonts w:ascii="Arial" w:hAnsi="Arial" w:cs="Arial"/>
          <w:noProof/>
          <w:sz w:val="24"/>
          <w:szCs w:val="24"/>
          <w:lang w:val="es-MX" w:eastAsia="es-ES"/>
        </w:rPr>
        <w:t xml:space="preserve">(Macaraig, </w:t>
      </w:r>
      <w:r w:rsidR="00E13ADE" w:rsidRPr="00B148B1">
        <w:rPr>
          <w:rFonts w:ascii="Arial" w:hAnsi="Arial" w:cs="Arial"/>
          <w:i/>
          <w:noProof/>
          <w:sz w:val="24"/>
          <w:szCs w:val="24"/>
          <w:lang w:val="es-MX"/>
        </w:rPr>
        <w:t>et al.,</w:t>
      </w:r>
      <w:r w:rsidR="0008723D" w:rsidRPr="00B148B1">
        <w:rPr>
          <w:rFonts w:ascii="Arial" w:hAnsi="Arial" w:cs="Arial"/>
          <w:noProof/>
          <w:sz w:val="24"/>
          <w:szCs w:val="24"/>
          <w:lang w:val="es-MX"/>
        </w:rPr>
        <w:t xml:space="preserve"> </w:t>
      </w:r>
      <w:r w:rsidR="000D257D" w:rsidRPr="00B148B1">
        <w:rPr>
          <w:rFonts w:ascii="Arial" w:hAnsi="Arial" w:cs="Arial"/>
          <w:noProof/>
          <w:sz w:val="24"/>
          <w:szCs w:val="24"/>
          <w:lang w:val="es-MX" w:eastAsia="es-ES"/>
        </w:rPr>
        <w:t>2013)</w:t>
      </w:r>
      <w:r w:rsidR="000D257D" w:rsidRPr="00B148B1">
        <w:rPr>
          <w:rFonts w:ascii="Arial" w:hAnsi="Arial" w:cs="Arial"/>
          <w:sz w:val="24"/>
          <w:szCs w:val="24"/>
          <w:lang w:eastAsia="es-ES"/>
        </w:rPr>
        <w:fldChar w:fldCharType="end"/>
      </w:r>
      <w:r w:rsidR="000D257D" w:rsidRPr="00B148B1">
        <w:rPr>
          <w:rFonts w:ascii="Arial" w:hAnsi="Arial" w:cs="Arial"/>
          <w:sz w:val="24"/>
          <w:szCs w:val="24"/>
          <w:lang w:val="es-MX" w:eastAsia="es-ES"/>
        </w:rPr>
        <w:t xml:space="preserve">. </w:t>
      </w:r>
      <w:r w:rsidR="009969F8" w:rsidRPr="00B148B1">
        <w:rPr>
          <w:rFonts w:ascii="Arial" w:hAnsi="Arial" w:cs="Arial"/>
          <w:sz w:val="24"/>
          <w:szCs w:val="24"/>
          <w:lang w:val="es-MX"/>
        </w:rPr>
        <w:t xml:space="preserve">El titanato de estroncio </w:t>
      </w:r>
      <w:r w:rsidR="000D257D" w:rsidRPr="00B148B1">
        <w:rPr>
          <w:rFonts w:ascii="Arial" w:hAnsi="Arial" w:cs="Arial"/>
          <w:sz w:val="24"/>
          <w:szCs w:val="24"/>
          <w:lang w:val="es-MX"/>
        </w:rPr>
        <w:t>tien</w:t>
      </w:r>
      <w:r w:rsidR="0031739E" w:rsidRPr="00B148B1">
        <w:rPr>
          <w:rFonts w:ascii="Arial" w:hAnsi="Arial" w:cs="Arial"/>
          <w:sz w:val="24"/>
          <w:szCs w:val="24"/>
          <w:lang w:val="es-MX"/>
        </w:rPr>
        <w:t xml:space="preserve">e diversos usos en la industria, siendo </w:t>
      </w:r>
      <w:r w:rsidR="000D257D" w:rsidRPr="00B148B1">
        <w:rPr>
          <w:rFonts w:ascii="Arial" w:hAnsi="Arial" w:cs="Arial"/>
          <w:sz w:val="24"/>
          <w:szCs w:val="24"/>
          <w:lang w:val="es-MX"/>
        </w:rPr>
        <w:t>ut</w:t>
      </w:r>
      <w:r w:rsidR="0031739E" w:rsidRPr="00B148B1">
        <w:rPr>
          <w:rFonts w:ascii="Arial" w:hAnsi="Arial" w:cs="Arial"/>
          <w:sz w:val="24"/>
          <w:szCs w:val="24"/>
          <w:lang w:val="es-MX"/>
        </w:rPr>
        <w:t xml:space="preserve">ilizado como catalizador, </w:t>
      </w:r>
      <w:r w:rsidR="000D257D" w:rsidRPr="00B148B1">
        <w:rPr>
          <w:rFonts w:ascii="Arial" w:hAnsi="Arial" w:cs="Arial"/>
          <w:sz w:val="24"/>
          <w:szCs w:val="24"/>
          <w:lang w:val="es-MX"/>
        </w:rPr>
        <w:t xml:space="preserve">producción de sensores, unidades de memoria, y condensadores múltiples entre otros usos </w:t>
      </w:r>
      <w:r w:rsidR="000D257D" w:rsidRPr="00B148B1">
        <w:rPr>
          <w:rFonts w:ascii="Arial" w:hAnsi="Arial" w:cs="Arial"/>
          <w:sz w:val="24"/>
          <w:szCs w:val="24"/>
        </w:rPr>
        <w:fldChar w:fldCharType="begin" w:fldLock="1"/>
      </w:r>
      <w:r w:rsidR="0008723D" w:rsidRPr="00B148B1">
        <w:rPr>
          <w:rFonts w:ascii="Arial" w:hAnsi="Arial" w:cs="Arial"/>
          <w:sz w:val="24"/>
          <w:szCs w:val="24"/>
          <w:lang w:val="es-MX"/>
        </w:rPr>
        <w:instrText>ADDIN CSL_CITATION { "citationItems" : [ { "id" : "ITEM-1", "itemData" : { "DOI" : "10.5897/SRE12.592", "ISSN" : "02728842", "abstract" : "Nanocrystalline strontium titanate (SrTiO3, ST) powders were prepared by sol-gel combustion method. The influence of fuel content ratio (ratio of citric acid (CA) and total metal nitrate (MN); Ra = CA:MN) and calcination temperature were investigated on the structure, morphology, and crystallite size by X-ray diffraction (XRD) and scanning electron microscopy (SEM). The results indicate that the Ra ratio of 3:1 is adequate for a good crystallization of pure perovskite phase after calcination by combining the washing process with nanometric crystallite size and porous microstructure. For the SrTiO3 powder synthesized with Ra ratio = 3:1, the effect of calcination temperature was investigated, showing that the perovskite structure is optimum crystallized at 500\u00b0C, without secondary phase formation. The particle sizes increased with increasing Ra ratio and calcination temperature.", "author" : [ { "dropping-particle" : "", "family" : "Klaytae", "given" : "Thanawat", "non-dropping-particle" : "", "parse-names" : false, "suffix" : "" }, { "dropping-particle" : "", "family" : "Panthong", "given" : "Piram", "non-dropping-particle" : "", "parse-names" : false, "suffix" : "" }, { "dropping-particle" : "", "family" : "Thountom", "given" : "Sarawut", "non-dropping-particle" : "", "parse-names" : false, "suffix" : "" } ], "container-title" : "Scientific Research and Essays", "id" : "ITEM-1", "issue" : "1", "issued" : { "date-parts" : [ [ "2013" ] ] }, "page" : "32-38", "title" : "Preparation of nanocrystalline strontium titanate ( SrTiO 3 ) powder by sol-gel combustion method", "type" : "article-journal", "volume" : "8" }, "uris" : [ "http://www.mendeley.com/documents/?uuid=ecdab91a-1335-459e-b25d-0c05210a12ce" ] } ], "mendeley" : { "formattedCitation" : "(Klaytae, Panthong, &amp; Thountom, 2013)", "manualFormatting" : "(Klaytae, Panthong, y Thountom, 2013)", "plainTextFormattedCitation" : "(Klaytae, Panthong, &amp; Thountom, 2013)", "previouslyFormattedCitation" : "(Klaytae, Panthong, &amp; Thountom, 2013)" }, "properties" : { "noteIndex" : 0 }, "schema" : "https://github.com/citation-style-language/schema/raw/master/csl-citation.json" }</w:instrText>
      </w:r>
      <w:r w:rsidR="000D257D" w:rsidRPr="00B148B1">
        <w:rPr>
          <w:rFonts w:ascii="Arial" w:hAnsi="Arial" w:cs="Arial"/>
          <w:sz w:val="24"/>
          <w:szCs w:val="24"/>
        </w:rPr>
        <w:fldChar w:fldCharType="separate"/>
      </w:r>
      <w:r w:rsidR="000D257D" w:rsidRPr="00B148B1">
        <w:rPr>
          <w:rFonts w:ascii="Arial" w:hAnsi="Arial" w:cs="Arial"/>
          <w:noProof/>
          <w:sz w:val="24"/>
          <w:szCs w:val="24"/>
          <w:lang w:val="es-MX"/>
        </w:rPr>
        <w:t>(Klaytae,</w:t>
      </w:r>
      <w:r w:rsidR="00FC6A24">
        <w:rPr>
          <w:rFonts w:ascii="Arial" w:hAnsi="Arial" w:cs="Arial"/>
          <w:noProof/>
          <w:sz w:val="24"/>
          <w:szCs w:val="24"/>
          <w:lang w:val="es-MX"/>
        </w:rPr>
        <w:t xml:space="preserve"> </w:t>
      </w:r>
      <w:r w:rsidR="00FC6A24" w:rsidRPr="00FC6A24">
        <w:rPr>
          <w:rFonts w:ascii="Arial" w:hAnsi="Arial" w:cs="Arial"/>
          <w:i/>
          <w:iCs/>
          <w:noProof/>
          <w:sz w:val="24"/>
          <w:szCs w:val="24"/>
          <w:lang w:val="es-MX"/>
        </w:rPr>
        <w:t>et al</w:t>
      </w:r>
      <w:r w:rsidR="000D257D" w:rsidRPr="00B148B1">
        <w:rPr>
          <w:rFonts w:ascii="Arial" w:hAnsi="Arial" w:cs="Arial"/>
          <w:noProof/>
          <w:sz w:val="24"/>
          <w:szCs w:val="24"/>
          <w:lang w:val="es-MX"/>
        </w:rPr>
        <w:t>, 2013)</w:t>
      </w:r>
      <w:r w:rsidR="000D257D" w:rsidRPr="00B148B1">
        <w:rPr>
          <w:rFonts w:ascii="Arial" w:hAnsi="Arial" w:cs="Arial"/>
          <w:sz w:val="24"/>
          <w:szCs w:val="24"/>
        </w:rPr>
        <w:fldChar w:fldCharType="end"/>
      </w:r>
      <w:r w:rsidR="0031739E" w:rsidRPr="00B148B1">
        <w:rPr>
          <w:rFonts w:ascii="Arial" w:hAnsi="Arial" w:cs="Arial"/>
          <w:sz w:val="24"/>
          <w:szCs w:val="24"/>
          <w:lang w:val="es-MX"/>
        </w:rPr>
        <w:t>. Se consideran atractivas las</w:t>
      </w:r>
      <w:r w:rsidR="000D257D" w:rsidRPr="00B148B1">
        <w:rPr>
          <w:rFonts w:ascii="Arial" w:hAnsi="Arial" w:cs="Arial"/>
          <w:sz w:val="24"/>
          <w:szCs w:val="24"/>
          <w:lang w:val="es-MX"/>
        </w:rPr>
        <w:t xml:space="preserve"> distintas aplicaciones en la microelectrónica integrada, </w:t>
      </w:r>
      <w:r w:rsidR="0031739E" w:rsidRPr="00B148B1">
        <w:rPr>
          <w:rFonts w:ascii="Arial" w:hAnsi="Arial" w:cs="Arial"/>
          <w:sz w:val="24"/>
          <w:szCs w:val="24"/>
          <w:lang w:val="es-MX"/>
        </w:rPr>
        <w:t xml:space="preserve">igualmente es </w:t>
      </w:r>
      <w:r w:rsidR="000D257D" w:rsidRPr="00B148B1">
        <w:rPr>
          <w:rFonts w:ascii="Arial" w:hAnsi="Arial" w:cs="Arial"/>
          <w:sz w:val="24"/>
          <w:szCs w:val="24"/>
          <w:lang w:val="es-MX"/>
        </w:rPr>
        <w:t xml:space="preserve">utilizado en filtros de microondas como lo son los resonadores y filtros que operan en el rango de </w:t>
      </w:r>
      <w:r w:rsidR="0031739E" w:rsidRPr="00B148B1">
        <w:rPr>
          <w:rFonts w:ascii="Arial" w:hAnsi="Arial" w:cs="Arial"/>
          <w:sz w:val="24"/>
          <w:szCs w:val="24"/>
          <w:lang w:val="es-MX"/>
        </w:rPr>
        <w:t xml:space="preserve">los </w:t>
      </w:r>
      <w:r w:rsidR="000D257D" w:rsidRPr="00B148B1">
        <w:rPr>
          <w:rFonts w:ascii="Arial" w:hAnsi="Arial" w:cs="Arial"/>
          <w:sz w:val="24"/>
          <w:szCs w:val="24"/>
          <w:lang w:val="es-MX"/>
        </w:rPr>
        <w:t xml:space="preserve">GHz </w:t>
      </w:r>
      <w:r w:rsidR="000D257D" w:rsidRPr="00B148B1">
        <w:rPr>
          <w:rFonts w:ascii="Arial" w:hAnsi="Arial" w:cs="Arial"/>
          <w:noProof/>
          <w:sz w:val="24"/>
          <w:szCs w:val="24"/>
        </w:rPr>
        <w:fldChar w:fldCharType="begin" w:fldLock="1"/>
      </w:r>
      <w:r w:rsidR="0008723D" w:rsidRPr="00B148B1">
        <w:rPr>
          <w:rFonts w:ascii="Arial" w:hAnsi="Arial" w:cs="Arial"/>
          <w:noProof/>
          <w:sz w:val="24"/>
          <w:szCs w:val="24"/>
          <w:lang w:val="es-MX"/>
        </w:rPr>
        <w:instrText>ADDIN CSL_CITATION { "citationItems" : [ { "id" : "ITEM-1", "itemData" : { "DOI" : "10.1007/s00339-003-2341-z", "ISBN" : "0955-2219", "ISSN" : "09478396", "abstract" : "The influence of Mg incorporation into A- and B-sites of the perovskite lattice of SrTiO3 ceramics on the struc- tural, microstructural and low-frequency dielectric properties is studied in this work. Compounds in the systems Sr1\u2212xMgxTiO3 and SrTi1\u2212yMgyO3\u2212\u03b4 were synthesised by a conventional solid- state method. The solid solubility ofMg is restricted to x &lt;1% for A-site occupancy (Sr1\u2212xMgxTiO3)and to y&lt;15% for B- site occupancy (SrTi1\u2212yMgyO3\u2212\u03b4). The lattice parameter is found to increase with Mg content for the SrTi1\u2212yMgyO3\u2212\u03b4 system, while it is almost invariant in the Sr1\u2212xMgxTiO3 one. The dependence on the lattice-site occupancy is also verified for the grain growth of ceramics. For SrTi1\u2212yMgyO3\u2212\u03b4 the aver- age grain size markedly decreases with increasing Mg content. For Sr1\u2212xMgxTiO3 the inverse dependence is observed. Con- trary to expectations, Mg does not induce ferroelectricity or relaxor-like behaviour in strontium titanate, located in either A- or B-sites of the SrTiO3 lattice. Moreover, fitting the dielec- tric behaviour to Barrett\u2019s law demonstrates that B-site doping drives the systemaway fromthe ferroelectric instability. InMg- doped strontium titanate ceramics the dielectric permittivity and dielectric losses decrease.The results are discussed based on the correlation between cation-site occupancy, charge and chemical stoichiometry in both systems.", "author" : [ { "dropping-particle" : "", "family" : "Tkach", "given" : "A.", "non-dropping-particle" : "", "parse-names" : false, "suffix" : "" }, { "dropping-particle" : "", "family" : "Vilarinho", "given" : "P. M.", "non-dropping-particle" : "", "parse-names" : false, "suffix" : "" }, { "dropping-particle" : "", "family" : "Kholkin", "given" : "A.", "non-dropping-particle" : "", "parse-names" : false, "suffix" : "" } ], "container-title" : "Applied Physics A: Materials Science and Processing", "id" : "ITEM-1", "issue" : "8", "issued" : { "date-parts" : [ [ "2004" ] ] }, "page" : "2013-2020", "title" : "Effect of Mg doping on the structural and dielectric properties of strontium titanate ceramics", "type" : "article-journal", "volume" : "79" }, "uris" : [ "http://www.mendeley.com/documents/?uuid=980d9cb8-bb3e-42a4-b9da-e58cc403f6ec" ] } ], "mendeley" : { "formattedCitation" : "(Tkach, Vilarinho, &amp; Kholkin, 2004)", "manualFormatting" : "(Tkach, et al.,2004)", "plainTextFormattedCitation" : "(Tkach, Vilarinho, &amp; Kholkin, 2004)", "previouslyFormattedCitation" : "(Tkach, Vilarinho, &amp; Kholkin, 2004)" }, "properties" : { "noteIndex" : 0 }, "schema" : "https://github.com/citation-style-language/schema/raw/master/csl-citation.json" }</w:instrText>
      </w:r>
      <w:r w:rsidR="000D257D" w:rsidRPr="00B148B1">
        <w:rPr>
          <w:rFonts w:ascii="Arial" w:hAnsi="Arial" w:cs="Arial"/>
          <w:noProof/>
          <w:sz w:val="24"/>
          <w:szCs w:val="24"/>
        </w:rPr>
        <w:fldChar w:fldCharType="separate"/>
      </w:r>
      <w:r w:rsidR="000D257D" w:rsidRPr="00B148B1">
        <w:rPr>
          <w:rFonts w:ascii="Arial" w:hAnsi="Arial" w:cs="Arial"/>
          <w:noProof/>
          <w:sz w:val="24"/>
          <w:szCs w:val="24"/>
          <w:lang w:val="es-MX"/>
        </w:rPr>
        <w:t xml:space="preserve">(Tkach, </w:t>
      </w:r>
      <w:r w:rsidR="00E13ADE" w:rsidRPr="00B148B1">
        <w:rPr>
          <w:rFonts w:ascii="Arial" w:hAnsi="Arial" w:cs="Arial"/>
          <w:i/>
          <w:noProof/>
          <w:sz w:val="24"/>
          <w:szCs w:val="24"/>
          <w:lang w:val="es-MX"/>
        </w:rPr>
        <w:t>et al.,</w:t>
      </w:r>
      <w:r w:rsidR="000D257D" w:rsidRPr="00B148B1">
        <w:rPr>
          <w:rFonts w:ascii="Arial" w:hAnsi="Arial" w:cs="Arial"/>
          <w:noProof/>
          <w:sz w:val="24"/>
          <w:szCs w:val="24"/>
          <w:lang w:val="es-MX"/>
        </w:rPr>
        <w:t>2004)</w:t>
      </w:r>
      <w:r w:rsidR="000D257D" w:rsidRPr="00B148B1">
        <w:rPr>
          <w:rFonts w:ascii="Arial" w:hAnsi="Arial" w:cs="Arial"/>
          <w:noProof/>
          <w:sz w:val="24"/>
          <w:szCs w:val="24"/>
        </w:rPr>
        <w:fldChar w:fldCharType="end"/>
      </w:r>
      <w:r w:rsidR="000D257D" w:rsidRPr="00B148B1">
        <w:rPr>
          <w:rFonts w:ascii="Arial" w:hAnsi="Arial" w:cs="Arial"/>
          <w:sz w:val="24"/>
          <w:szCs w:val="24"/>
          <w:lang w:val="es-MX"/>
        </w:rPr>
        <w:t>.</w:t>
      </w:r>
    </w:p>
    <w:p w14:paraId="65210355" w14:textId="75FB1242" w:rsidR="00475FF2" w:rsidRPr="00B148B1" w:rsidRDefault="000D257D" w:rsidP="001A0407">
      <w:pPr>
        <w:spacing w:line="360" w:lineRule="auto"/>
        <w:jc w:val="both"/>
        <w:rPr>
          <w:rFonts w:ascii="Arial" w:hAnsi="Arial" w:cs="Arial"/>
          <w:sz w:val="24"/>
          <w:szCs w:val="24"/>
          <w:lang w:val="es-MX"/>
        </w:rPr>
      </w:pPr>
      <w:r w:rsidRPr="00B148B1">
        <w:rPr>
          <w:rFonts w:ascii="Arial" w:hAnsi="Arial" w:cs="Arial"/>
          <w:sz w:val="24"/>
          <w:szCs w:val="24"/>
          <w:lang w:val="es-MX"/>
        </w:rPr>
        <w:t>El método de sol-gel permite la síntesis a partir de alcóxidos metálicos o sales metálicas, obteniendo esqueletos de óxidos</w:t>
      </w:r>
      <w:r w:rsidR="00B03AE4" w:rsidRPr="00B148B1">
        <w:rPr>
          <w:rFonts w:ascii="Arial" w:hAnsi="Arial" w:cs="Arial"/>
          <w:sz w:val="24"/>
          <w:szCs w:val="24"/>
          <w:lang w:val="es-MX"/>
        </w:rPr>
        <w:t xml:space="preserve"> metálicos por reacción de hidró</w:t>
      </w:r>
      <w:r w:rsidRPr="00B148B1">
        <w:rPr>
          <w:rFonts w:ascii="Arial" w:hAnsi="Arial" w:cs="Arial"/>
          <w:sz w:val="24"/>
          <w:szCs w:val="24"/>
          <w:lang w:val="es-MX"/>
        </w:rPr>
        <w:t>lisis y polimerización a bajas temperaturas, con lo que se obtiene fa</w:t>
      </w:r>
      <w:r w:rsidR="00B03AE4" w:rsidRPr="00B148B1">
        <w:rPr>
          <w:rFonts w:ascii="Arial" w:hAnsi="Arial" w:cs="Arial"/>
          <w:sz w:val="24"/>
          <w:szCs w:val="24"/>
          <w:lang w:val="es-MX"/>
        </w:rPr>
        <w:t>ses metaestables y só</w:t>
      </w:r>
      <w:r w:rsidRPr="00B148B1">
        <w:rPr>
          <w:rFonts w:ascii="Arial" w:hAnsi="Arial" w:cs="Arial"/>
          <w:sz w:val="24"/>
          <w:szCs w:val="24"/>
          <w:lang w:val="es-MX"/>
        </w:rPr>
        <w:t xml:space="preserve">lidos mixtos órgano-inorgánicos </w:t>
      </w:r>
      <w:r w:rsidRPr="00B148B1">
        <w:rPr>
          <w:rFonts w:ascii="Arial" w:hAnsi="Arial" w:cs="Arial"/>
          <w:sz w:val="24"/>
          <w:szCs w:val="24"/>
        </w:rPr>
        <w:fldChar w:fldCharType="begin" w:fldLock="1"/>
      </w:r>
      <w:r w:rsidRPr="00B148B1">
        <w:rPr>
          <w:rFonts w:ascii="Arial" w:hAnsi="Arial" w:cs="Arial"/>
          <w:sz w:val="24"/>
          <w:szCs w:val="24"/>
          <w:lang w:val="es-MX"/>
        </w:rPr>
        <w:instrText>ADDIN CSL_CITATION { "citationItems" : [ { "id" : "ITEM-1", "itemData" : { "author" : [ { "dropping-particle" : "", "family" : "Beltran", "given" : "Randirley", "non-dropping-particle" : "", "parse-names" : false, "suffix" : "" } ], "id" : "ITEM-1", "issued" : { "date-parts" : [ [ "2015" ] ] }, "number-of-pages" : "84", "publisher" : "Universidad Nacional de Colombia", "title" : "S\u00edntesis y estudio del acoplamiento cristalogr\u00e1fico y estabilidad qu\u00edmica en comp\u00f3sitos Sr2HoNbO6 /YBa2Cu3O7\u2212\u03b4", "type" : "thesis" }, "uris" : [ "http://www.mendeley.com/documents/?uuid=37f29a2a-d701-4b2c-a5a2-0adb81581ffd" ] } ], "mendeley" : { "formattedCitation" : "(Beltran, 2015)", "plainTextFormattedCitation" : "(Beltran, 2015)", "previouslyFormattedCitation" : "(Beltran, 2015)" }, "properties" : { "noteIndex" : 0 }, "schema" : "https://github.com/citation-style-language/schema/raw/master/csl-citation.json" }</w:instrText>
      </w:r>
      <w:r w:rsidRPr="00B148B1">
        <w:rPr>
          <w:rFonts w:ascii="Arial" w:hAnsi="Arial" w:cs="Arial"/>
          <w:sz w:val="24"/>
          <w:szCs w:val="24"/>
        </w:rPr>
        <w:fldChar w:fldCharType="separate"/>
      </w:r>
      <w:r w:rsidRPr="00B148B1">
        <w:rPr>
          <w:rFonts w:ascii="Arial" w:hAnsi="Arial" w:cs="Arial"/>
          <w:noProof/>
          <w:sz w:val="24"/>
          <w:szCs w:val="24"/>
          <w:lang w:val="es-MX"/>
        </w:rPr>
        <w:t>(Beltran, 2015)</w:t>
      </w:r>
      <w:r w:rsidRPr="00B148B1">
        <w:rPr>
          <w:rFonts w:ascii="Arial" w:hAnsi="Arial" w:cs="Arial"/>
          <w:sz w:val="24"/>
          <w:szCs w:val="24"/>
        </w:rPr>
        <w:fldChar w:fldCharType="end"/>
      </w:r>
      <w:r w:rsidRPr="00B148B1">
        <w:rPr>
          <w:rFonts w:ascii="Arial" w:hAnsi="Arial" w:cs="Arial"/>
          <w:sz w:val="24"/>
          <w:szCs w:val="24"/>
          <w:lang w:val="es-MX"/>
        </w:rPr>
        <w:t>. E</w:t>
      </w:r>
      <w:r w:rsidR="00DE37FD" w:rsidRPr="00B148B1">
        <w:rPr>
          <w:rFonts w:ascii="Arial" w:hAnsi="Arial" w:cs="Arial"/>
          <w:sz w:val="24"/>
          <w:szCs w:val="24"/>
          <w:lang w:val="es-MX"/>
        </w:rPr>
        <w:t>l</w:t>
      </w:r>
      <w:r w:rsidRPr="00B148B1">
        <w:rPr>
          <w:rFonts w:ascii="Arial" w:hAnsi="Arial" w:cs="Arial"/>
          <w:sz w:val="24"/>
          <w:szCs w:val="24"/>
          <w:lang w:val="es-MX"/>
        </w:rPr>
        <w:t xml:space="preserve"> proceso es considerado como un método para la elaboración </w:t>
      </w:r>
      <w:r w:rsidR="00601144" w:rsidRPr="00B148B1">
        <w:rPr>
          <w:rFonts w:ascii="Arial" w:hAnsi="Arial" w:cs="Arial"/>
          <w:sz w:val="24"/>
          <w:szCs w:val="24"/>
          <w:lang w:val="es-MX"/>
        </w:rPr>
        <w:t>de cerámicos, geles o vidrios. S</w:t>
      </w:r>
      <w:r w:rsidRPr="00B148B1">
        <w:rPr>
          <w:rFonts w:ascii="Arial" w:hAnsi="Arial" w:cs="Arial"/>
          <w:sz w:val="24"/>
          <w:szCs w:val="24"/>
          <w:lang w:val="es-MX"/>
        </w:rPr>
        <w:t xml:space="preserve">e considera como sol </w:t>
      </w:r>
      <w:r w:rsidR="00B03AE4" w:rsidRPr="00B148B1">
        <w:rPr>
          <w:rFonts w:ascii="Arial" w:hAnsi="Arial" w:cs="Arial"/>
          <w:sz w:val="24"/>
          <w:szCs w:val="24"/>
          <w:lang w:val="es-MX"/>
        </w:rPr>
        <w:t xml:space="preserve">a </w:t>
      </w:r>
      <w:r w:rsidRPr="00B148B1">
        <w:rPr>
          <w:rFonts w:ascii="Arial" w:hAnsi="Arial" w:cs="Arial"/>
          <w:sz w:val="24"/>
          <w:szCs w:val="24"/>
          <w:lang w:val="es-MX"/>
        </w:rPr>
        <w:t xml:space="preserve">aquella suspensión coloidal de partículas con un tamaño que puede ser de 1 a 1 000 nm en un líquido </w:t>
      </w:r>
      <w:r w:rsidRPr="00B148B1">
        <w:rPr>
          <w:rFonts w:ascii="Arial" w:hAnsi="Arial" w:cs="Arial"/>
          <w:sz w:val="24"/>
          <w:szCs w:val="24"/>
        </w:rPr>
        <w:fldChar w:fldCharType="begin" w:fldLock="1"/>
      </w:r>
      <w:r w:rsidRPr="00B148B1">
        <w:rPr>
          <w:rFonts w:ascii="Arial" w:hAnsi="Arial" w:cs="Arial"/>
          <w:sz w:val="24"/>
          <w:szCs w:val="24"/>
          <w:lang w:val="es-MX"/>
        </w:rPr>
        <w:instrText>ADDIN CSL_CITATION { "citationItems" : [ { "id" : "ITEM-1", "itemData" : { "author" : [ { "dropping-particle" : "", "family" : "Reyes", "given" : "J.", "non-dropping-particle" : "", "parse-names" : false, "suffix" : "" } ], "id" : "ITEM-1", "issued" : { "date-parts" : [ [ "2003" ] ] }, "publisher" : "Universidad de colima", "publisher-place" : "colima", "title" : "Aplicaci\u00f3n de la t\u00e9cnica Sol-gel", "type" : "book" }, "uris" : [ "http://www.mendeley.com/documents/?uuid=308945f1-1eea-40de-8973-946287e43140" ] } ], "mendeley" : { "formattedCitation" : "(Reyes, 2003)", "plainTextFormattedCitation" : "(Reyes, 2003)", "previouslyFormattedCitation" : "(Reyes, 2003)" }, "properties" : { "noteIndex" : 0 }, "schema" : "https://github.com/citation-style-language/schema/raw/master/csl-citation.json" }</w:instrText>
      </w:r>
      <w:r w:rsidRPr="00B148B1">
        <w:rPr>
          <w:rFonts w:ascii="Arial" w:hAnsi="Arial" w:cs="Arial"/>
          <w:sz w:val="24"/>
          <w:szCs w:val="24"/>
        </w:rPr>
        <w:fldChar w:fldCharType="separate"/>
      </w:r>
      <w:r w:rsidRPr="00B148B1">
        <w:rPr>
          <w:rFonts w:ascii="Arial" w:hAnsi="Arial" w:cs="Arial"/>
          <w:noProof/>
          <w:sz w:val="24"/>
          <w:szCs w:val="24"/>
          <w:lang w:val="es-MX"/>
        </w:rPr>
        <w:t>(Reyes, 2003)</w:t>
      </w:r>
      <w:r w:rsidRPr="00B148B1">
        <w:rPr>
          <w:rFonts w:ascii="Arial" w:hAnsi="Arial" w:cs="Arial"/>
          <w:sz w:val="24"/>
          <w:szCs w:val="24"/>
        </w:rPr>
        <w:fldChar w:fldCharType="end"/>
      </w:r>
      <w:r w:rsidRPr="00B148B1">
        <w:rPr>
          <w:rFonts w:ascii="Arial" w:hAnsi="Arial" w:cs="Arial"/>
          <w:sz w:val="24"/>
          <w:szCs w:val="24"/>
          <w:lang w:val="es-MX"/>
        </w:rPr>
        <w:t xml:space="preserve">. En el proceso de Sol-gel se identifican cinco etapas de importancia estas son hidrólisis, polimerización, nucleación, crecimiento y aglomeración </w:t>
      </w:r>
      <w:r w:rsidRPr="00B148B1">
        <w:rPr>
          <w:rFonts w:ascii="Arial" w:hAnsi="Arial" w:cs="Arial"/>
          <w:noProof/>
          <w:sz w:val="24"/>
          <w:szCs w:val="24"/>
        </w:rPr>
        <w:fldChar w:fldCharType="begin" w:fldLock="1"/>
      </w:r>
      <w:r w:rsidR="0008723D" w:rsidRPr="00B148B1">
        <w:rPr>
          <w:rFonts w:ascii="Arial" w:hAnsi="Arial" w:cs="Arial"/>
          <w:noProof/>
          <w:sz w:val="24"/>
          <w:szCs w:val="24"/>
          <w:lang w:val="es-MX"/>
        </w:rPr>
        <w:instrText>ADDIN CSL_CITATION { "citationItems" : [ { "id" : "ITEM-1", "itemData" : { "author" : [ { "dropping-particle" : "", "family" : "Monr\u00f3", "given" : "G.", "non-dropping-particle" : "", "parse-names" : false, "suffix" : "" }, { "dropping-particle" : "", "family" : "Garcia", "given" : "A.", "non-dropping-particle" : "", "parse-names" : false, "suffix" : "" }, { "dropping-particle" : "", "family" : "Badenes", "given" : "J.", "non-dropping-particle" : "", "parse-names" : false, "suffix" : "" }, { "dropping-particle" : "", "family" : "Tena", "given" : "A.", "non-dropping-particle" : "", "parse-names" : false, "suffix" : "" } ], "id" : "ITEM-1", "issued" : { "date-parts" : [ [ "2003" ] ] }, "publisher" : "Universitat Jaume", "publisher-place" : "Espa\u00f1a", "title" : "El color de la cer\u00e1mica: nuevos mecanismos en pigmentos para los nuevos procesados de la industria cer\u00e1mica", "type" : "book" }, "uris" : [ "http://www.mendeley.com/documents/?uuid=d0a889e2-2e37-4d52-ac05-ea85a56ae047" ] } ], "mendeley" : { "formattedCitation" : "(Monr\u00f3, Garcia, Badenes, &amp; Tena, 2003)", "manualFormatting" : "(Monr\u00f3, et al., 2003)", "plainTextFormattedCitation" : "(Monr\u00f3, Garcia, Badenes, &amp; Tena, 2003)", "previouslyFormattedCitation" : "(Monr\u00f3, Garcia, Badenes, &amp; Tena, 2003)" }, "properties" : { "noteIndex" : 0 }, "schema" : "https://github.com/citation-style-language/schema/raw/master/csl-citation.json" }</w:instrText>
      </w:r>
      <w:r w:rsidRPr="00B148B1">
        <w:rPr>
          <w:rFonts w:ascii="Arial" w:hAnsi="Arial" w:cs="Arial"/>
          <w:noProof/>
          <w:sz w:val="24"/>
          <w:szCs w:val="24"/>
        </w:rPr>
        <w:fldChar w:fldCharType="separate"/>
      </w:r>
      <w:r w:rsidR="0008723D" w:rsidRPr="00B148B1">
        <w:rPr>
          <w:rFonts w:ascii="Arial" w:hAnsi="Arial" w:cs="Arial"/>
          <w:noProof/>
          <w:sz w:val="24"/>
          <w:szCs w:val="24"/>
          <w:lang w:val="es-MX"/>
        </w:rPr>
        <w:t xml:space="preserve">(Monró, </w:t>
      </w:r>
      <w:r w:rsidR="00E13ADE" w:rsidRPr="00B148B1">
        <w:rPr>
          <w:rFonts w:ascii="Arial" w:hAnsi="Arial" w:cs="Arial"/>
          <w:i/>
          <w:noProof/>
          <w:sz w:val="24"/>
          <w:szCs w:val="24"/>
          <w:lang w:val="es-MX"/>
        </w:rPr>
        <w:t>et al.,</w:t>
      </w:r>
      <w:r w:rsidRPr="00B148B1">
        <w:rPr>
          <w:rFonts w:ascii="Arial" w:hAnsi="Arial" w:cs="Arial"/>
          <w:noProof/>
          <w:sz w:val="24"/>
          <w:szCs w:val="24"/>
          <w:lang w:val="es-MX"/>
        </w:rPr>
        <w:t xml:space="preserve"> 2003)</w:t>
      </w:r>
      <w:r w:rsidRPr="00B148B1">
        <w:rPr>
          <w:rFonts w:ascii="Arial" w:hAnsi="Arial" w:cs="Arial"/>
          <w:noProof/>
          <w:sz w:val="24"/>
          <w:szCs w:val="24"/>
        </w:rPr>
        <w:fldChar w:fldCharType="end"/>
      </w:r>
    </w:p>
    <w:p w14:paraId="3E89C0AD" w14:textId="1213E504" w:rsidR="000D257D" w:rsidRPr="00B148B1" w:rsidRDefault="000D257D" w:rsidP="001A0407">
      <w:pPr>
        <w:spacing w:line="360" w:lineRule="auto"/>
        <w:jc w:val="both"/>
        <w:rPr>
          <w:rFonts w:ascii="Arial" w:hAnsi="Arial" w:cs="Arial"/>
          <w:sz w:val="24"/>
          <w:szCs w:val="24"/>
          <w:lang w:val="es-MX"/>
        </w:rPr>
      </w:pPr>
      <w:r w:rsidRPr="00B148B1">
        <w:rPr>
          <w:rFonts w:ascii="Arial" w:hAnsi="Arial" w:cs="Arial"/>
          <w:sz w:val="24"/>
          <w:szCs w:val="24"/>
          <w:lang w:val="es-MX"/>
        </w:rPr>
        <w:lastRenderedPageBreak/>
        <w:t xml:space="preserve">El electrohilado es el único método por el cual se pueden obtener fibras con un rango que va entre los 50 y 500 nanómetros, aunque existen otros métodos para la obtención de fibras se considera que esta es la más conveniente para obtener fibras de esta dimensión </w:t>
      </w:r>
      <w:r w:rsidRPr="00B148B1">
        <w:rPr>
          <w:rFonts w:ascii="Arial" w:hAnsi="Arial" w:cs="Arial"/>
          <w:noProof/>
          <w:sz w:val="24"/>
          <w:szCs w:val="24"/>
        </w:rPr>
        <w:fldChar w:fldCharType="begin" w:fldLock="1"/>
      </w:r>
      <w:r w:rsidR="00950631" w:rsidRPr="00B148B1">
        <w:rPr>
          <w:rFonts w:ascii="Arial" w:hAnsi="Arial" w:cs="Arial"/>
          <w:noProof/>
          <w:sz w:val="24"/>
          <w:szCs w:val="24"/>
          <w:lang w:val="es-MX"/>
        </w:rPr>
        <w:instrText>ADDIN CSL_CITATION { "citationItems" : [ { "id" : "ITEM-1", "itemData" : { "DOI" : "10.1016/S0032-3861(01)00594-8", "ISBN" : "00323861 (ISSN)", "ISSN" : "00323861", "abstract" : "Electrospinning is a process by which sub-micron polymer fibers can be produced using an electrostatically driven jet of polymer solution (or polymer melt). Electrospun textiles are of interest in a wide variety of applications including semi-permeable membranes, filters, composite applications, and as scaffolding for tissue engineering. The goal of the research presented here is to demonstrate that it is possible to produce sub-micron fibers with a specific surface chemistry through electrospinning. This has been accomplished by electrospinning a series of random copolymers of PMMA-r-TAN from a mixed solvent of toluene and dimethyl formamide. X-ray Photoelectron Spectroscopy (XPS) analysis shows that the atomic percentage of fluorine in the near surface region of the electrospun fibers is about double the atomic percentage of fluorine found in a bulk sample of the random copolymer, as determined by elemental analysis. These results are in good agreement with XPS and water contact angle results obtained from thin films of the same copolymer materials. \u00c2\u00a9 2001 Published by Elsevier Science Ltd.", "author" : [ { "dropping-particle" : "", "family" : "Deitzel", "given" : "J M", "non-dropping-particle" : "", "parse-names" : false, "suffix" : "" }, { "dropping-particle" : "", "family" : "Kosik", "given" : "W", "non-dropping-particle" : "", "parse-names" : false, "suffix" : "" }, { "dropping-particle" : "", "family" : "McKnight", "given" : "S H", "non-dropping-particle" : "", "parse-names" : false, "suffix" : "" }, { "dropping-particle" : "", "family" : "Beck Tan", "given" : "N C", "non-dropping-particle" : "", "parse-names" : false, "suffix" : "" }, { "dropping-particle" : "", "family" : "DeSimone", "given" : "J M", "non-dropping-particle" : "", "parse-names" : false, "suffix" : "" }, { "dropping-particle" : "", "family" : "Crette", "given" : "S", "non-dropping-particle" : "", "parse-names" : false, "suffix" : "" } ], "container-title" : "Polymer", "id" : "ITEM-1", "issue" : "3", "issued" : { "date-parts" : [ [ "2002" ] ] }, "page" : "1025-1029", "title" : "Electrospinning of polymer nanofibers with specific surface chemistry", "type" : "article-journal", "volume" : "43" }, "uris" : [ "http://www.mendeley.com/documents/?uuid=63907077-b830-4285-ba70-01e335880c03" ] } ], "mendeley" : { "formattedCitation" : "(Deitzel et al., 2002)", "plainTextFormattedCitation" : "(Deitzel et al., 2002)", "previouslyFormattedCitation" : "(Deitzel et al., 2002)" }, "properties" : { "noteIndex" : 0 }, "schema" : "https://github.com/citation-style-language/schema/raw/master/csl-citation.json" }</w:instrText>
      </w:r>
      <w:r w:rsidRPr="00B148B1">
        <w:rPr>
          <w:rFonts w:ascii="Arial" w:hAnsi="Arial" w:cs="Arial"/>
          <w:noProof/>
          <w:sz w:val="24"/>
          <w:szCs w:val="24"/>
        </w:rPr>
        <w:fldChar w:fldCharType="separate"/>
      </w:r>
      <w:r w:rsidR="00950631" w:rsidRPr="00B148B1">
        <w:rPr>
          <w:rFonts w:ascii="Arial" w:hAnsi="Arial" w:cs="Arial"/>
          <w:noProof/>
          <w:sz w:val="24"/>
          <w:szCs w:val="24"/>
          <w:lang w:val="es-MX"/>
        </w:rPr>
        <w:t xml:space="preserve">(Deitzel </w:t>
      </w:r>
      <w:r w:rsidR="00E13ADE" w:rsidRPr="00B148B1">
        <w:rPr>
          <w:rFonts w:ascii="Arial" w:hAnsi="Arial" w:cs="Arial"/>
          <w:i/>
          <w:noProof/>
          <w:sz w:val="24"/>
          <w:szCs w:val="24"/>
          <w:lang w:val="es-MX"/>
        </w:rPr>
        <w:t>et al.,</w:t>
      </w:r>
      <w:r w:rsidR="00950631" w:rsidRPr="00B148B1">
        <w:rPr>
          <w:rFonts w:ascii="Arial" w:hAnsi="Arial" w:cs="Arial"/>
          <w:noProof/>
          <w:sz w:val="24"/>
          <w:szCs w:val="24"/>
          <w:lang w:val="es-MX"/>
        </w:rPr>
        <w:t xml:space="preserve"> 2002)</w:t>
      </w:r>
      <w:r w:rsidRPr="00B148B1">
        <w:rPr>
          <w:rFonts w:ascii="Arial" w:hAnsi="Arial" w:cs="Arial"/>
          <w:noProof/>
          <w:sz w:val="24"/>
          <w:szCs w:val="24"/>
        </w:rPr>
        <w:fldChar w:fldCharType="end"/>
      </w:r>
      <w:r w:rsidRPr="00B148B1">
        <w:rPr>
          <w:rFonts w:ascii="Arial" w:hAnsi="Arial" w:cs="Arial"/>
          <w:sz w:val="24"/>
          <w:szCs w:val="24"/>
          <w:lang w:val="es-MX"/>
        </w:rPr>
        <w:t xml:space="preserve">. En la pasada década se ha explorado el uso de este método para la elaboración de </w:t>
      </w:r>
      <w:proofErr w:type="spellStart"/>
      <w:r w:rsidRPr="00B148B1">
        <w:rPr>
          <w:rFonts w:ascii="Arial" w:hAnsi="Arial" w:cs="Arial"/>
          <w:sz w:val="24"/>
          <w:szCs w:val="24"/>
          <w:lang w:val="es-MX"/>
        </w:rPr>
        <w:t>nanofibras</w:t>
      </w:r>
      <w:proofErr w:type="spellEnd"/>
      <w:r w:rsidRPr="00B148B1">
        <w:rPr>
          <w:rFonts w:ascii="Arial" w:hAnsi="Arial" w:cs="Arial"/>
          <w:sz w:val="24"/>
          <w:szCs w:val="24"/>
          <w:lang w:val="es-MX"/>
        </w:rPr>
        <w:t xml:space="preserve"> cerámicas esto debido a la aplicación de dos técnicas en conjunto, el electrohilado y el sol-gel </w:t>
      </w:r>
      <w:r w:rsidRPr="00B148B1">
        <w:rPr>
          <w:rFonts w:ascii="Arial" w:hAnsi="Arial" w:cs="Arial"/>
          <w:noProof/>
          <w:sz w:val="24"/>
          <w:szCs w:val="24"/>
        </w:rPr>
        <w:fldChar w:fldCharType="begin" w:fldLock="1"/>
      </w:r>
      <w:r w:rsidR="0008723D" w:rsidRPr="00B148B1">
        <w:rPr>
          <w:rFonts w:ascii="Arial" w:hAnsi="Arial" w:cs="Arial"/>
          <w:noProof/>
          <w:sz w:val="24"/>
          <w:szCs w:val="24"/>
          <w:lang w:val="es-MX"/>
        </w:rPr>
        <w:instrText>ADDIN CSL_CITATION { "citationItems" : [ { "id" : "ITEM-1", "itemData" : { "DOI" : "10.1007/s40145-012-0002-4", "ISBN" : "2226-4108", "ISSN" : "22278508", "abstract" : "This paper provides a brief review of current research activities that focus on the synthesis and controlled assembly of inorganic nano\u00bfbers by electrospinning, their electrical, optical and magnetic properties, as well as their applications in various areas including sensors, catalysts, batteries, filters and separators. We begin with a brief introduction to electrospinning technology and a brief method to produce ceramic nanofibers from electrospinning. We then discuss approaches to the controlled assembly and patterning of electrospun ceramic nanofibers. We continue with a highlight of some recent applications enabled by electrospun ceramic nano\u00bfbers, with a focus on the physical properties of functional ceramic nanofibers as well as their applications in energy and environmental technologies. In the end, we conclude this review with some perspectives on the future directions and implications for this new class of functional nanomaterials. It is expected that this review paper can help the readers quickly become acquainted with the basic principles and particularly the experimental procedure for preparing and assembly of 1D ceramic nanofiber and its arrays.", "author" : [ { "dropping-particle" : "", "family" : "Wu", "given" : "Hui", "non-dropping-particle" : "", "parse-names" : false, "suffix" : "" }, { "dropping-particle" : "", "family" : "Pan", "given" : "Wei", "non-dropping-particle" : "", "parse-names" : false, "suffix" : "" }, { "dropping-particle" : "", "family" : "Lin", "given" : "Dandan", "non-dropping-particle" : "", "parse-names" : false, "suffix" : "" }, { "dropping-particle" : "", "family" : "Li", "given" : "Heping", "non-dropping-particle" : "", "parse-names" : false, "suffix" : "" } ], "container-title" : "Journal of Advanced Ceramics", "id" : "ITEM-1", "issue" : "1", "issued" : { "date-parts" : [ [ "2012" ] ] }, "page" : "2-23", "title" : "Electrospinning of ceramic nanofibers: Fabrication, assembly and applications", "type" : "article-journal", "volume" : "1" }, "uris" : [ "http://www.mendeley.com/documents/?uuid=8c7813a5-cfea-423d-a0d3-7330dd677809" ] } ], "mendeley" : { "formattedCitation" : "(Wu, Pan, Lin, &amp; Li, 2012)", "manualFormatting" : "(Wu, et al., 2012)", "plainTextFormattedCitation" : "(Wu, Pan, Lin, &amp; Li, 2012)", "previouslyFormattedCitation" : "(Wu, Pan, Lin, &amp; Li, 2012)" }, "properties" : { "noteIndex" : 0 }, "schema" : "https://github.com/citation-style-language/schema/raw/master/csl-citation.json" }</w:instrText>
      </w:r>
      <w:r w:rsidRPr="00B148B1">
        <w:rPr>
          <w:rFonts w:ascii="Arial" w:hAnsi="Arial" w:cs="Arial"/>
          <w:noProof/>
          <w:sz w:val="24"/>
          <w:szCs w:val="24"/>
        </w:rPr>
        <w:fldChar w:fldCharType="separate"/>
      </w:r>
      <w:r w:rsidR="0008723D" w:rsidRPr="00B148B1">
        <w:rPr>
          <w:rFonts w:ascii="Arial" w:hAnsi="Arial" w:cs="Arial"/>
          <w:noProof/>
          <w:sz w:val="24"/>
          <w:szCs w:val="24"/>
          <w:lang w:val="es-MX"/>
        </w:rPr>
        <w:t xml:space="preserve">(Wu, </w:t>
      </w:r>
      <w:r w:rsidR="00E13ADE" w:rsidRPr="00B148B1">
        <w:rPr>
          <w:rFonts w:ascii="Arial" w:hAnsi="Arial" w:cs="Arial"/>
          <w:i/>
          <w:noProof/>
          <w:sz w:val="24"/>
          <w:szCs w:val="24"/>
          <w:lang w:val="es-MX"/>
        </w:rPr>
        <w:t>et al.,</w:t>
      </w:r>
      <w:r w:rsidRPr="00B148B1">
        <w:rPr>
          <w:rFonts w:ascii="Arial" w:hAnsi="Arial" w:cs="Arial"/>
          <w:noProof/>
          <w:sz w:val="24"/>
          <w:szCs w:val="24"/>
          <w:lang w:val="es-MX"/>
        </w:rPr>
        <w:t xml:space="preserve"> 2012)</w:t>
      </w:r>
      <w:r w:rsidRPr="00B148B1">
        <w:rPr>
          <w:rFonts w:ascii="Arial" w:hAnsi="Arial" w:cs="Arial"/>
          <w:noProof/>
          <w:sz w:val="24"/>
          <w:szCs w:val="24"/>
        </w:rPr>
        <w:fldChar w:fldCharType="end"/>
      </w:r>
      <w:r w:rsidRPr="00B148B1">
        <w:rPr>
          <w:rFonts w:ascii="Arial" w:hAnsi="Arial" w:cs="Arial"/>
          <w:noProof/>
          <w:sz w:val="24"/>
          <w:szCs w:val="24"/>
          <w:lang w:val="es-MX"/>
        </w:rPr>
        <w:t>.</w:t>
      </w:r>
    </w:p>
    <w:p w14:paraId="45B17CCC" w14:textId="164340E9" w:rsidR="006463E7" w:rsidRPr="00B148B1" w:rsidRDefault="006463E7" w:rsidP="001A0407">
      <w:pPr>
        <w:tabs>
          <w:tab w:val="left" w:pos="8130"/>
        </w:tabs>
        <w:spacing w:line="360" w:lineRule="auto"/>
        <w:jc w:val="both"/>
        <w:rPr>
          <w:rFonts w:ascii="Arial" w:hAnsi="Arial" w:cs="Arial"/>
          <w:b/>
          <w:sz w:val="24"/>
          <w:szCs w:val="24"/>
          <w:lang w:val="es-MX"/>
        </w:rPr>
      </w:pPr>
      <w:r w:rsidRPr="00B148B1">
        <w:rPr>
          <w:rFonts w:ascii="Arial" w:hAnsi="Arial" w:cs="Arial"/>
          <w:b/>
          <w:sz w:val="24"/>
          <w:szCs w:val="24"/>
          <w:lang w:val="es-MX"/>
        </w:rPr>
        <w:t>Justificación</w:t>
      </w:r>
    </w:p>
    <w:p w14:paraId="450D70AE" w14:textId="77777777" w:rsidR="000D257D" w:rsidRPr="00B148B1" w:rsidRDefault="00B03AE4" w:rsidP="001A0407">
      <w:pPr>
        <w:tabs>
          <w:tab w:val="left" w:pos="8130"/>
        </w:tabs>
        <w:spacing w:line="360" w:lineRule="auto"/>
        <w:jc w:val="both"/>
        <w:rPr>
          <w:rFonts w:ascii="Arial" w:hAnsi="Arial" w:cs="Arial"/>
          <w:sz w:val="24"/>
          <w:szCs w:val="24"/>
          <w:lang w:val="es-MX"/>
        </w:rPr>
      </w:pPr>
      <w:r w:rsidRPr="00B148B1">
        <w:rPr>
          <w:rFonts w:ascii="Arial" w:hAnsi="Arial" w:cs="Arial"/>
          <w:sz w:val="24"/>
          <w:szCs w:val="24"/>
          <w:lang w:val="es-MX"/>
        </w:rPr>
        <w:t>La producción de tita</w:t>
      </w:r>
      <w:r w:rsidR="006463E7" w:rsidRPr="00B148B1">
        <w:rPr>
          <w:rFonts w:ascii="Arial" w:hAnsi="Arial" w:cs="Arial"/>
          <w:sz w:val="24"/>
          <w:szCs w:val="24"/>
          <w:lang w:val="es-MX"/>
        </w:rPr>
        <w:t xml:space="preserve">nato de estroncio se realiza por el método de </w:t>
      </w:r>
      <w:proofErr w:type="spellStart"/>
      <w:r w:rsidR="006463E7" w:rsidRPr="00B148B1">
        <w:rPr>
          <w:rFonts w:ascii="Arial" w:hAnsi="Arial" w:cs="Arial"/>
          <w:sz w:val="24"/>
          <w:szCs w:val="24"/>
          <w:lang w:val="es-MX"/>
        </w:rPr>
        <w:t>Vermeuil</w:t>
      </w:r>
      <w:proofErr w:type="spellEnd"/>
      <w:r w:rsidR="006463E7" w:rsidRPr="00B148B1">
        <w:rPr>
          <w:rFonts w:ascii="Arial" w:hAnsi="Arial" w:cs="Arial"/>
          <w:sz w:val="24"/>
          <w:szCs w:val="24"/>
          <w:lang w:val="es-MX"/>
        </w:rPr>
        <w:t xml:space="preserve"> el cual es costoso, tardado y se requiere de altas temperaturas para obtener polvos del titanato de estroncio, una vez obtenidos los polvos se da el procesamiento cerámico, que consta de varias etapas, entre los procesos más sencillos, se prensan los polvos y se lleva a sinterizar el material, sin embargo no se pueden obtener formas diversas o complicadas, para ello se deben realizar procesos completos que constan de la extracción, preparación de la pasta, amasado, moldeo, secado, y cocción del cerámico, dichos procesos aumentan los costos de la producción. Una técnica que ha surgido de la necesidad de obtener materiales cerámicos avanzados es sol-gel, método que agiliza la obtención a temperatura de conformados en verde a temperatura ambiente, reduciendo costos y tiempos, aunado a la técnica de Sol-gel el método de electrohilado, facilita la obtención estructuras complejas en forma de fibras continuas.</w:t>
      </w:r>
    </w:p>
    <w:p w14:paraId="2FA8A37F" w14:textId="77777777" w:rsidR="008511A5" w:rsidRPr="00B148B1" w:rsidRDefault="003D30A9" w:rsidP="001A0407">
      <w:pPr>
        <w:tabs>
          <w:tab w:val="left" w:pos="8130"/>
        </w:tabs>
        <w:spacing w:line="360" w:lineRule="auto"/>
        <w:jc w:val="both"/>
        <w:rPr>
          <w:rFonts w:ascii="Arial" w:hAnsi="Arial" w:cs="Arial"/>
          <w:b/>
          <w:sz w:val="24"/>
          <w:szCs w:val="24"/>
          <w:lang w:val="es-MX"/>
        </w:rPr>
      </w:pPr>
      <w:r w:rsidRPr="00B148B1">
        <w:rPr>
          <w:rFonts w:ascii="Arial" w:hAnsi="Arial" w:cs="Arial"/>
          <w:b/>
          <w:sz w:val="24"/>
          <w:szCs w:val="24"/>
          <w:lang w:val="es-MX"/>
        </w:rPr>
        <w:t>Metodología</w:t>
      </w:r>
    </w:p>
    <w:p w14:paraId="2884665E" w14:textId="0EF983F9" w:rsidR="00385B9C" w:rsidRPr="00B148B1" w:rsidRDefault="008511A5" w:rsidP="001A0407">
      <w:pPr>
        <w:tabs>
          <w:tab w:val="left" w:pos="8130"/>
        </w:tabs>
        <w:spacing w:line="360" w:lineRule="auto"/>
        <w:jc w:val="both"/>
        <w:rPr>
          <w:rFonts w:ascii="Arial" w:hAnsi="Arial" w:cs="Arial"/>
          <w:sz w:val="24"/>
          <w:szCs w:val="24"/>
          <w:lang w:val="es-MX"/>
        </w:rPr>
      </w:pPr>
      <w:r w:rsidRPr="00B148B1">
        <w:rPr>
          <w:rFonts w:ascii="Arial" w:hAnsi="Arial" w:cs="Arial"/>
          <w:b/>
          <w:bCs/>
          <w:i/>
          <w:sz w:val="24"/>
          <w:szCs w:val="24"/>
          <w:lang w:val="es-MX"/>
        </w:rPr>
        <w:t>Obtención de sol-gel</w:t>
      </w:r>
      <w:r w:rsidR="00DE37FD" w:rsidRPr="00B148B1">
        <w:rPr>
          <w:rFonts w:ascii="Arial" w:hAnsi="Arial" w:cs="Arial"/>
          <w:b/>
          <w:bCs/>
          <w:i/>
          <w:sz w:val="24"/>
          <w:szCs w:val="24"/>
          <w:lang w:val="es-MX"/>
        </w:rPr>
        <w:t xml:space="preserve">: </w:t>
      </w:r>
      <w:r w:rsidR="00385B9C" w:rsidRPr="00B148B1">
        <w:rPr>
          <w:rFonts w:ascii="Arial" w:hAnsi="Arial" w:cs="Arial"/>
          <w:sz w:val="24"/>
          <w:szCs w:val="24"/>
          <w:lang w:val="es-MX"/>
        </w:rPr>
        <w:t xml:space="preserve">El sol-gel se preparó </w:t>
      </w:r>
      <w:r w:rsidRPr="00B148B1">
        <w:rPr>
          <w:rFonts w:ascii="Arial" w:hAnsi="Arial" w:cs="Arial"/>
          <w:sz w:val="24"/>
          <w:szCs w:val="24"/>
          <w:lang w:val="es-MX"/>
        </w:rPr>
        <w:t>realizando modificac</w:t>
      </w:r>
      <w:r w:rsidR="00950631" w:rsidRPr="00B148B1">
        <w:rPr>
          <w:rFonts w:ascii="Arial" w:hAnsi="Arial" w:cs="Arial"/>
          <w:sz w:val="24"/>
          <w:szCs w:val="24"/>
          <w:lang w:val="es-MX"/>
        </w:rPr>
        <w:t xml:space="preserve">iones al método descrito por </w:t>
      </w:r>
      <w:r w:rsidR="00950631" w:rsidRPr="00B148B1">
        <w:rPr>
          <w:rFonts w:ascii="Arial" w:hAnsi="Arial" w:cs="Arial"/>
          <w:sz w:val="24"/>
          <w:szCs w:val="24"/>
          <w:lang w:val="es-MX"/>
        </w:rPr>
        <w:fldChar w:fldCharType="begin" w:fldLock="1"/>
      </w:r>
      <w:r w:rsidR="00950631" w:rsidRPr="00B148B1">
        <w:rPr>
          <w:rFonts w:ascii="Arial" w:hAnsi="Arial" w:cs="Arial"/>
          <w:sz w:val="24"/>
          <w:szCs w:val="24"/>
          <w:lang w:val="es-MX"/>
        </w:rPr>
        <w:instrText>ADDIN CSL_CITATION { "citationItems" : [ { "id" : "ITEM-1", "itemData" : { "DOI" : "10.1557/jmr.2013.259", "ISSN" : "0884-2914", "author" : [ { "dropping-particle" : "", "family" : "Macaraig", "given" : "Lea", "non-dropping-particle" : "", "parse-names" : false, "suffix" : "" }, { "dropping-particle" : "", "family" : "Chuangchote", "given" : "Surawut", "non-dropping-particle" : "", "parse-names" : false, "suffix" : "" }, { "dropping-particle" : "", "family" : "Sagawa", "given" : "Takashi", "non-dropping-particle" : "", "parse-names" : false, "suffix" : "" } ], "container-title" : "Journal of Materials Research", "id" : "ITEM-1", "issue" : "01", "issued" : { "date-parts" : [ [ "2013" ] ] }, "page" : "123-130", "title" : "Electrospun SrTiO3 nanofibers for photocatalytic hydrogen generation", "type" : "article-journal", "volume" : "29" }, "uris" : [ "http://www.mendeley.com/documents/?uuid=79589930-a406-4229-ad3b-fd7392e8fb8e" ] } ], "mendeley" : { "formattedCitation" : "(Macaraig et al., 2013)", "manualFormatting" : "Macaraig et al., 2013", "plainTextFormattedCitation" : "(Macaraig et al., 2013)", "previouslyFormattedCitation" : "(Macaraig et al., 2013)" }, "properties" : { "noteIndex" : 0 }, "schema" : "https://github.com/citation-style-language/schema/raw/master/csl-citation.json" }</w:instrText>
      </w:r>
      <w:r w:rsidR="00950631" w:rsidRPr="00B148B1">
        <w:rPr>
          <w:rFonts w:ascii="Arial" w:hAnsi="Arial" w:cs="Arial"/>
          <w:sz w:val="24"/>
          <w:szCs w:val="24"/>
          <w:lang w:val="es-MX"/>
        </w:rPr>
        <w:fldChar w:fldCharType="separate"/>
      </w:r>
      <w:r w:rsidR="00950631" w:rsidRPr="00B148B1">
        <w:rPr>
          <w:rFonts w:ascii="Arial" w:hAnsi="Arial" w:cs="Arial"/>
          <w:noProof/>
          <w:sz w:val="24"/>
          <w:szCs w:val="24"/>
          <w:lang w:val="es-MX"/>
        </w:rPr>
        <w:t xml:space="preserve">Macaraig </w:t>
      </w:r>
      <w:r w:rsidR="00E13ADE" w:rsidRPr="00B148B1">
        <w:rPr>
          <w:rFonts w:ascii="Arial" w:hAnsi="Arial" w:cs="Arial"/>
          <w:i/>
          <w:noProof/>
          <w:sz w:val="24"/>
          <w:szCs w:val="24"/>
          <w:lang w:val="es-MX"/>
        </w:rPr>
        <w:t>et al.,</w:t>
      </w:r>
      <w:r w:rsidR="00950631" w:rsidRPr="00B148B1">
        <w:rPr>
          <w:rFonts w:ascii="Arial" w:hAnsi="Arial" w:cs="Arial"/>
          <w:noProof/>
          <w:sz w:val="24"/>
          <w:szCs w:val="24"/>
          <w:lang w:val="es-MX"/>
        </w:rPr>
        <w:t xml:space="preserve"> 2013</w:t>
      </w:r>
      <w:r w:rsidR="00950631" w:rsidRPr="00B148B1">
        <w:rPr>
          <w:rFonts w:ascii="Arial" w:hAnsi="Arial" w:cs="Arial"/>
          <w:sz w:val="24"/>
          <w:szCs w:val="24"/>
          <w:lang w:val="es-MX"/>
        </w:rPr>
        <w:fldChar w:fldCharType="end"/>
      </w:r>
      <w:r w:rsidR="00385B9C" w:rsidRPr="00B148B1">
        <w:rPr>
          <w:rFonts w:ascii="Arial" w:hAnsi="Arial" w:cs="Arial"/>
          <w:sz w:val="24"/>
          <w:szCs w:val="24"/>
          <w:lang w:val="es-MX"/>
        </w:rPr>
        <w:t xml:space="preserve"> para ello se realizó </w:t>
      </w:r>
      <w:r w:rsidRPr="00B148B1">
        <w:rPr>
          <w:rFonts w:ascii="Arial" w:hAnsi="Arial" w:cs="Arial"/>
          <w:sz w:val="24"/>
          <w:szCs w:val="24"/>
          <w:lang w:val="es-MX"/>
        </w:rPr>
        <w:t>una solución a partir de Nitrato de estron</w:t>
      </w:r>
      <w:r w:rsidR="00385B9C" w:rsidRPr="00B148B1">
        <w:rPr>
          <w:rFonts w:ascii="Arial" w:hAnsi="Arial" w:cs="Arial"/>
          <w:sz w:val="24"/>
          <w:szCs w:val="24"/>
          <w:lang w:val="es-MX"/>
        </w:rPr>
        <w:t xml:space="preserve">cio (alfa </w:t>
      </w:r>
      <w:proofErr w:type="spellStart"/>
      <w:r w:rsidR="00385B9C" w:rsidRPr="00B148B1">
        <w:rPr>
          <w:rFonts w:ascii="Arial" w:hAnsi="Arial" w:cs="Arial"/>
          <w:sz w:val="24"/>
          <w:szCs w:val="24"/>
          <w:lang w:val="es-MX"/>
        </w:rPr>
        <w:t>Aesar</w:t>
      </w:r>
      <w:proofErr w:type="spellEnd"/>
      <w:r w:rsidR="00385B9C" w:rsidRPr="00B148B1">
        <w:rPr>
          <w:rFonts w:ascii="Arial" w:hAnsi="Arial" w:cs="Arial"/>
          <w:sz w:val="24"/>
          <w:szCs w:val="24"/>
          <w:lang w:val="es-MX"/>
        </w:rPr>
        <w:t xml:space="preserve"> 99%) </w:t>
      </w:r>
      <w:r w:rsidRPr="00B148B1">
        <w:rPr>
          <w:rFonts w:ascii="Arial" w:hAnsi="Arial" w:cs="Arial"/>
          <w:sz w:val="24"/>
          <w:szCs w:val="24"/>
          <w:lang w:val="es-MX"/>
        </w:rPr>
        <w:t xml:space="preserve">disuelto en ácido acético (Alfa </w:t>
      </w:r>
      <w:proofErr w:type="spellStart"/>
      <w:r w:rsidRPr="00B148B1">
        <w:rPr>
          <w:rFonts w:ascii="Arial" w:hAnsi="Arial" w:cs="Arial"/>
          <w:sz w:val="24"/>
          <w:szCs w:val="24"/>
          <w:lang w:val="es-MX"/>
        </w:rPr>
        <w:t>Aesar</w:t>
      </w:r>
      <w:proofErr w:type="spellEnd"/>
      <w:r w:rsidRPr="00B148B1">
        <w:rPr>
          <w:rFonts w:ascii="Arial" w:hAnsi="Arial" w:cs="Arial"/>
          <w:sz w:val="24"/>
          <w:szCs w:val="24"/>
          <w:lang w:val="es-MX"/>
        </w:rPr>
        <w:t>) concentrado en agit</w:t>
      </w:r>
      <w:r w:rsidR="00385B9C" w:rsidRPr="00B148B1">
        <w:rPr>
          <w:rFonts w:ascii="Arial" w:hAnsi="Arial" w:cs="Arial"/>
          <w:sz w:val="24"/>
          <w:szCs w:val="24"/>
          <w:lang w:val="es-MX"/>
        </w:rPr>
        <w:t>ación constante hasta disolver</w:t>
      </w:r>
      <w:bookmarkStart w:id="1" w:name="_GoBack"/>
      <w:bookmarkEnd w:id="1"/>
      <w:r w:rsidRPr="00B148B1">
        <w:rPr>
          <w:rFonts w:ascii="Arial" w:hAnsi="Arial" w:cs="Arial"/>
          <w:sz w:val="24"/>
          <w:szCs w:val="24"/>
          <w:lang w:val="es-MX"/>
        </w:rPr>
        <w:t xml:space="preserve"> por comple</w:t>
      </w:r>
      <w:r w:rsidR="00B03AE4" w:rsidRPr="00B148B1">
        <w:rPr>
          <w:rFonts w:ascii="Arial" w:hAnsi="Arial" w:cs="Arial"/>
          <w:sz w:val="24"/>
          <w:szCs w:val="24"/>
          <w:lang w:val="es-MX"/>
        </w:rPr>
        <w:t>to, posteriormente se adicionó</w:t>
      </w:r>
      <w:r w:rsidR="00385B9C" w:rsidRPr="00B148B1">
        <w:rPr>
          <w:rFonts w:ascii="Arial" w:hAnsi="Arial" w:cs="Arial"/>
          <w:sz w:val="24"/>
          <w:szCs w:val="24"/>
          <w:lang w:val="es-MX"/>
        </w:rPr>
        <w:t xml:space="preserve"> </w:t>
      </w:r>
      <w:proofErr w:type="spellStart"/>
      <w:r w:rsidR="00B03AE4" w:rsidRPr="00B148B1">
        <w:rPr>
          <w:rFonts w:ascii="Arial" w:hAnsi="Arial" w:cs="Arial"/>
          <w:sz w:val="24"/>
          <w:szCs w:val="24"/>
          <w:lang w:val="es-MX"/>
        </w:rPr>
        <w:t>isopropó</w:t>
      </w:r>
      <w:r w:rsidRPr="00B148B1">
        <w:rPr>
          <w:rFonts w:ascii="Arial" w:hAnsi="Arial" w:cs="Arial"/>
          <w:sz w:val="24"/>
          <w:szCs w:val="24"/>
          <w:lang w:val="es-MX"/>
        </w:rPr>
        <w:t>xido</w:t>
      </w:r>
      <w:proofErr w:type="spellEnd"/>
      <w:r w:rsidRPr="00B148B1">
        <w:rPr>
          <w:rFonts w:ascii="Arial" w:hAnsi="Arial" w:cs="Arial"/>
          <w:sz w:val="24"/>
          <w:szCs w:val="24"/>
          <w:lang w:val="es-MX"/>
        </w:rPr>
        <w:t xml:space="preserve"> de titanio (</w:t>
      </w:r>
      <w:proofErr w:type="spellStart"/>
      <w:r w:rsidRPr="00B148B1">
        <w:rPr>
          <w:rFonts w:ascii="Arial" w:hAnsi="Arial" w:cs="Arial"/>
          <w:sz w:val="24"/>
          <w:szCs w:val="24"/>
          <w:lang w:val="es-MX"/>
        </w:rPr>
        <w:t>sigma-Aldric</w:t>
      </w:r>
      <w:r w:rsidR="00385B9C" w:rsidRPr="00B148B1">
        <w:rPr>
          <w:rFonts w:ascii="Arial" w:hAnsi="Arial" w:cs="Arial"/>
          <w:sz w:val="24"/>
          <w:szCs w:val="24"/>
          <w:lang w:val="es-MX"/>
        </w:rPr>
        <w:t>h</w:t>
      </w:r>
      <w:proofErr w:type="spellEnd"/>
      <w:r w:rsidR="00385B9C" w:rsidRPr="00B148B1">
        <w:rPr>
          <w:rFonts w:ascii="Arial" w:hAnsi="Arial" w:cs="Arial"/>
          <w:sz w:val="24"/>
          <w:szCs w:val="24"/>
          <w:lang w:val="es-MX"/>
        </w:rPr>
        <w:t xml:space="preserve"> 97%) por goteo manteniendo en</w:t>
      </w:r>
      <w:r w:rsidRPr="00B148B1">
        <w:rPr>
          <w:rFonts w:ascii="Arial" w:hAnsi="Arial" w:cs="Arial"/>
          <w:sz w:val="24"/>
          <w:szCs w:val="24"/>
          <w:lang w:val="es-MX"/>
        </w:rPr>
        <w:t xml:space="preserve"> agitación durante 1 h. </w:t>
      </w:r>
      <w:r w:rsidR="00385B9C" w:rsidRPr="00B148B1">
        <w:rPr>
          <w:rFonts w:ascii="Arial" w:hAnsi="Arial" w:cs="Arial"/>
          <w:sz w:val="24"/>
          <w:szCs w:val="24"/>
          <w:lang w:val="es-MX"/>
        </w:rPr>
        <w:t xml:space="preserve">conservando una relación entre el Sr y Ti </w:t>
      </w:r>
      <w:proofErr w:type="spellStart"/>
      <w:r w:rsidRPr="00B148B1">
        <w:rPr>
          <w:rFonts w:ascii="Arial" w:hAnsi="Arial" w:cs="Arial"/>
          <w:sz w:val="24"/>
          <w:szCs w:val="24"/>
          <w:lang w:val="es-MX"/>
        </w:rPr>
        <w:t>equimolar</w:t>
      </w:r>
      <w:proofErr w:type="spellEnd"/>
      <w:r w:rsidRPr="00B148B1">
        <w:rPr>
          <w:rFonts w:ascii="Arial" w:hAnsi="Arial" w:cs="Arial"/>
          <w:sz w:val="24"/>
          <w:szCs w:val="24"/>
          <w:lang w:val="es-MX"/>
        </w:rPr>
        <w:t>.</w:t>
      </w:r>
      <w:r w:rsidR="00DE37FD" w:rsidRPr="00B148B1">
        <w:rPr>
          <w:rFonts w:ascii="Arial" w:hAnsi="Arial" w:cs="Arial"/>
          <w:sz w:val="24"/>
          <w:szCs w:val="24"/>
          <w:lang w:val="es-MX"/>
        </w:rPr>
        <w:t xml:space="preserve"> </w:t>
      </w:r>
      <w:r w:rsidR="00385B9C" w:rsidRPr="00B148B1">
        <w:rPr>
          <w:rFonts w:ascii="Arial" w:hAnsi="Arial" w:cs="Arial"/>
          <w:sz w:val="24"/>
          <w:szCs w:val="24"/>
          <w:lang w:val="es-MX"/>
        </w:rPr>
        <w:t xml:space="preserve">Simultáneamente a esto se preparó una solución agregando </w:t>
      </w:r>
      <w:proofErr w:type="spellStart"/>
      <w:r w:rsidR="00385B9C" w:rsidRPr="00B148B1">
        <w:rPr>
          <w:rFonts w:ascii="Arial" w:hAnsi="Arial" w:cs="Arial"/>
          <w:sz w:val="24"/>
          <w:szCs w:val="24"/>
          <w:lang w:val="es-MX"/>
        </w:rPr>
        <w:t>polivinilpirrolidona</w:t>
      </w:r>
      <w:proofErr w:type="spellEnd"/>
      <w:r w:rsidR="00385B9C" w:rsidRPr="00B148B1">
        <w:rPr>
          <w:rFonts w:ascii="Arial" w:hAnsi="Arial" w:cs="Arial"/>
          <w:sz w:val="24"/>
          <w:szCs w:val="24"/>
          <w:lang w:val="es-MX"/>
        </w:rPr>
        <w:t xml:space="preserve"> (Alfa </w:t>
      </w:r>
      <w:proofErr w:type="spellStart"/>
      <w:r w:rsidR="00385B9C" w:rsidRPr="00B148B1">
        <w:rPr>
          <w:rFonts w:ascii="Arial" w:hAnsi="Arial" w:cs="Arial"/>
          <w:sz w:val="24"/>
          <w:szCs w:val="24"/>
          <w:lang w:val="es-MX"/>
        </w:rPr>
        <w:t>Aesar</w:t>
      </w:r>
      <w:proofErr w:type="spellEnd"/>
      <w:r w:rsidR="00385B9C" w:rsidRPr="00B148B1">
        <w:rPr>
          <w:rFonts w:ascii="Arial" w:hAnsi="Arial" w:cs="Arial"/>
          <w:sz w:val="24"/>
          <w:szCs w:val="24"/>
          <w:lang w:val="es-MX"/>
        </w:rPr>
        <w:t>) (PVP) a etanol (</w:t>
      </w:r>
      <w:proofErr w:type="spellStart"/>
      <w:r w:rsidR="00385B9C" w:rsidRPr="00B148B1">
        <w:rPr>
          <w:rFonts w:ascii="Arial" w:hAnsi="Arial" w:cs="Arial"/>
          <w:sz w:val="24"/>
          <w:szCs w:val="24"/>
          <w:lang w:val="es-MX"/>
        </w:rPr>
        <w:t>jalmek</w:t>
      </w:r>
      <w:proofErr w:type="spellEnd"/>
      <w:r w:rsidR="00385B9C" w:rsidRPr="00B148B1">
        <w:rPr>
          <w:rFonts w:ascii="Arial" w:hAnsi="Arial" w:cs="Arial"/>
          <w:sz w:val="24"/>
          <w:szCs w:val="24"/>
          <w:lang w:val="es-MX"/>
        </w:rPr>
        <w:t xml:space="preserve"> 99.5%) bajo agitación hasta una disolución completa. </w:t>
      </w:r>
      <w:r w:rsidR="00B03AE4" w:rsidRPr="00B148B1">
        <w:rPr>
          <w:rFonts w:ascii="Arial" w:hAnsi="Arial" w:cs="Arial"/>
          <w:sz w:val="24"/>
          <w:szCs w:val="24"/>
          <w:lang w:val="es-MX"/>
        </w:rPr>
        <w:t>La solución de PVP se adicionó</w:t>
      </w:r>
      <w:r w:rsidR="00385B9C" w:rsidRPr="00B148B1">
        <w:rPr>
          <w:rFonts w:ascii="Arial" w:hAnsi="Arial" w:cs="Arial"/>
          <w:sz w:val="24"/>
          <w:szCs w:val="24"/>
          <w:lang w:val="es-MX"/>
        </w:rPr>
        <w:t xml:space="preserve"> a la solución con los precursores en agitación manteniéndola durante 1 h. para homogenizar la solución </w:t>
      </w:r>
    </w:p>
    <w:p w14:paraId="1C41C9E3" w14:textId="2370AFF8" w:rsidR="008511A5" w:rsidRPr="00B148B1" w:rsidRDefault="008511A5" w:rsidP="001A0407">
      <w:pPr>
        <w:tabs>
          <w:tab w:val="left" w:pos="8130"/>
        </w:tabs>
        <w:spacing w:line="360" w:lineRule="auto"/>
        <w:jc w:val="both"/>
        <w:rPr>
          <w:rFonts w:ascii="Arial" w:hAnsi="Arial" w:cs="Arial"/>
          <w:sz w:val="24"/>
          <w:szCs w:val="24"/>
          <w:lang w:val="es-MX"/>
        </w:rPr>
      </w:pPr>
      <w:r w:rsidRPr="00B148B1">
        <w:rPr>
          <w:rFonts w:ascii="Arial" w:hAnsi="Arial" w:cs="Arial"/>
          <w:b/>
          <w:bCs/>
          <w:i/>
          <w:sz w:val="24"/>
          <w:szCs w:val="24"/>
          <w:lang w:val="es-MX"/>
        </w:rPr>
        <w:lastRenderedPageBreak/>
        <w:t>Elaboración de fibras mediante la técnica de electrohilado</w:t>
      </w:r>
      <w:r w:rsidR="00DE37FD" w:rsidRPr="00B148B1">
        <w:rPr>
          <w:rFonts w:ascii="Arial" w:hAnsi="Arial" w:cs="Arial"/>
          <w:b/>
          <w:bCs/>
          <w:i/>
          <w:sz w:val="24"/>
          <w:szCs w:val="24"/>
          <w:lang w:val="es-MX"/>
        </w:rPr>
        <w:t xml:space="preserve">: </w:t>
      </w:r>
      <w:r w:rsidRPr="00B148B1">
        <w:rPr>
          <w:rFonts w:ascii="Arial" w:hAnsi="Arial" w:cs="Arial"/>
          <w:sz w:val="24"/>
          <w:szCs w:val="24"/>
          <w:lang w:val="es-MX"/>
        </w:rPr>
        <w:t xml:space="preserve">La solución de sol-gel preparada </w:t>
      </w:r>
      <w:r w:rsidR="00F27513" w:rsidRPr="00B148B1">
        <w:rPr>
          <w:rFonts w:ascii="Arial" w:hAnsi="Arial" w:cs="Arial"/>
          <w:sz w:val="24"/>
          <w:szCs w:val="24"/>
          <w:lang w:val="es-MX"/>
        </w:rPr>
        <w:t>se colocó</w:t>
      </w:r>
      <w:r w:rsidRPr="00B148B1">
        <w:rPr>
          <w:rFonts w:ascii="Arial" w:hAnsi="Arial" w:cs="Arial"/>
          <w:sz w:val="24"/>
          <w:szCs w:val="24"/>
          <w:lang w:val="es-MX"/>
        </w:rPr>
        <w:t xml:space="preserve"> en una jeringa de vidrio de 10 mL (Fortuna®, Optima®) con aguja metálica, la jeringa se colocará sobre una bomba iny</w:t>
      </w:r>
      <w:r w:rsidR="00E13ADE" w:rsidRPr="00B148B1">
        <w:rPr>
          <w:rFonts w:ascii="Arial" w:hAnsi="Arial" w:cs="Arial"/>
          <w:sz w:val="24"/>
          <w:szCs w:val="24"/>
          <w:lang w:val="es-MX"/>
        </w:rPr>
        <w:t xml:space="preserve">ectora </w:t>
      </w:r>
      <w:proofErr w:type="spellStart"/>
      <w:r w:rsidR="00E13ADE" w:rsidRPr="00B148B1">
        <w:rPr>
          <w:rFonts w:ascii="Arial" w:hAnsi="Arial" w:cs="Arial"/>
          <w:sz w:val="24"/>
          <w:szCs w:val="24"/>
          <w:lang w:val="es-MX"/>
        </w:rPr>
        <w:t>K</w:t>
      </w:r>
      <w:r w:rsidR="00532E81" w:rsidRPr="00B148B1">
        <w:rPr>
          <w:rFonts w:ascii="Arial" w:hAnsi="Arial" w:cs="Arial"/>
          <w:sz w:val="24"/>
          <w:szCs w:val="24"/>
          <w:lang w:val="es-MX"/>
        </w:rPr>
        <w:t>D</w:t>
      </w:r>
      <w:r w:rsidR="00E13ADE" w:rsidRPr="00B148B1">
        <w:rPr>
          <w:rFonts w:ascii="Arial" w:hAnsi="Arial" w:cs="Arial"/>
          <w:sz w:val="24"/>
          <w:szCs w:val="24"/>
          <w:lang w:val="es-MX"/>
        </w:rPr>
        <w:t>Scientific</w:t>
      </w:r>
      <w:proofErr w:type="spellEnd"/>
      <w:r w:rsidR="00E13ADE" w:rsidRPr="00B148B1">
        <w:rPr>
          <w:rFonts w:ascii="Arial" w:hAnsi="Arial" w:cs="Arial"/>
          <w:sz w:val="24"/>
          <w:szCs w:val="24"/>
          <w:lang w:val="es-MX"/>
        </w:rPr>
        <w:t xml:space="preserve"> que aplicó</w:t>
      </w:r>
      <w:r w:rsidRPr="00B148B1">
        <w:rPr>
          <w:rFonts w:ascii="Arial" w:hAnsi="Arial" w:cs="Arial"/>
          <w:sz w:val="24"/>
          <w:szCs w:val="24"/>
          <w:lang w:val="es-MX"/>
        </w:rPr>
        <w:t xml:space="preserve"> una presión determinada sobre el émbolo de la jeringa obteniendo un flujo de </w:t>
      </w:r>
      <w:r w:rsidR="00E13ADE" w:rsidRPr="00B148B1">
        <w:rPr>
          <w:rFonts w:ascii="Arial" w:hAnsi="Arial" w:cs="Arial"/>
          <w:sz w:val="24"/>
          <w:szCs w:val="24"/>
          <w:lang w:val="es-MX"/>
        </w:rPr>
        <w:t>1mL</w:t>
      </w:r>
      <w:r w:rsidR="00F27513" w:rsidRPr="00B148B1">
        <w:rPr>
          <w:rFonts w:ascii="Arial" w:hAnsi="Arial" w:cs="Arial"/>
          <w:sz w:val="24"/>
          <w:szCs w:val="24"/>
          <w:lang w:val="es-MX"/>
        </w:rPr>
        <w:t xml:space="preserve">/h de </w:t>
      </w:r>
      <w:r w:rsidRPr="00B148B1">
        <w:rPr>
          <w:rFonts w:ascii="Arial" w:hAnsi="Arial" w:cs="Arial"/>
          <w:sz w:val="24"/>
          <w:szCs w:val="24"/>
          <w:lang w:val="es-MX"/>
        </w:rPr>
        <w:t>la so</w:t>
      </w:r>
      <w:r w:rsidR="00F27513" w:rsidRPr="00B148B1">
        <w:rPr>
          <w:rFonts w:ascii="Arial" w:hAnsi="Arial" w:cs="Arial"/>
          <w:sz w:val="24"/>
          <w:szCs w:val="24"/>
          <w:lang w:val="es-MX"/>
        </w:rPr>
        <w:t>lución. La jeringa se encontraba a una distancia de 8</w:t>
      </w:r>
      <w:r w:rsidR="00E13ADE" w:rsidRPr="00B148B1">
        <w:rPr>
          <w:rFonts w:ascii="Arial" w:hAnsi="Arial" w:cs="Arial"/>
          <w:sz w:val="24"/>
          <w:szCs w:val="24"/>
          <w:lang w:val="es-MX"/>
        </w:rPr>
        <w:t xml:space="preserve"> cm</w:t>
      </w:r>
      <w:r w:rsidR="00F27513" w:rsidRPr="00B148B1">
        <w:rPr>
          <w:rFonts w:ascii="Arial" w:hAnsi="Arial" w:cs="Arial"/>
          <w:sz w:val="24"/>
          <w:szCs w:val="24"/>
          <w:lang w:val="es-MX"/>
        </w:rPr>
        <w:t xml:space="preserve"> del rodillo colector que se hallaba</w:t>
      </w:r>
      <w:r w:rsidRPr="00B148B1">
        <w:rPr>
          <w:rFonts w:ascii="Arial" w:hAnsi="Arial" w:cs="Arial"/>
          <w:sz w:val="24"/>
          <w:szCs w:val="24"/>
          <w:lang w:val="es-MX"/>
        </w:rPr>
        <w:t xml:space="preserve"> recubierto por papel aluminio para facilitar la manipulación de las fibras. </w:t>
      </w:r>
    </w:p>
    <w:p w14:paraId="00BFABCD" w14:textId="3DC03A69" w:rsidR="00D32DD3" w:rsidRPr="00B148B1" w:rsidRDefault="008511A5" w:rsidP="001A0407">
      <w:pPr>
        <w:tabs>
          <w:tab w:val="left" w:pos="8130"/>
        </w:tabs>
        <w:spacing w:line="360" w:lineRule="auto"/>
        <w:jc w:val="both"/>
        <w:rPr>
          <w:rFonts w:ascii="Arial" w:hAnsi="Arial" w:cs="Arial"/>
          <w:sz w:val="24"/>
          <w:szCs w:val="24"/>
          <w:lang w:val="es-MX"/>
        </w:rPr>
      </w:pPr>
      <w:r w:rsidRPr="00B148B1">
        <w:rPr>
          <w:rFonts w:ascii="Arial" w:hAnsi="Arial" w:cs="Arial"/>
          <w:b/>
          <w:bCs/>
          <w:i/>
          <w:sz w:val="24"/>
          <w:szCs w:val="24"/>
          <w:lang w:val="es-MX"/>
        </w:rPr>
        <w:t>Caracterización de fibras en verde</w:t>
      </w:r>
      <w:r w:rsidR="003D30A9" w:rsidRPr="00B148B1">
        <w:rPr>
          <w:rFonts w:ascii="Arial" w:hAnsi="Arial" w:cs="Arial"/>
          <w:b/>
          <w:bCs/>
          <w:i/>
          <w:sz w:val="24"/>
          <w:szCs w:val="24"/>
          <w:lang w:val="es-MX"/>
        </w:rPr>
        <w:t xml:space="preserve"> y cerámicas</w:t>
      </w:r>
      <w:r w:rsidR="00DE37FD" w:rsidRPr="00B148B1">
        <w:rPr>
          <w:rFonts w:ascii="Arial" w:hAnsi="Arial" w:cs="Arial"/>
          <w:b/>
          <w:bCs/>
          <w:i/>
          <w:sz w:val="24"/>
          <w:szCs w:val="24"/>
          <w:lang w:val="es-MX"/>
        </w:rPr>
        <w:t xml:space="preserve">: </w:t>
      </w:r>
      <w:r w:rsidR="00F27513" w:rsidRPr="00B148B1">
        <w:rPr>
          <w:rFonts w:ascii="Arial" w:hAnsi="Arial" w:cs="Arial"/>
          <w:sz w:val="24"/>
          <w:szCs w:val="24"/>
          <w:lang w:val="es-MX"/>
        </w:rPr>
        <w:t>Las fibras en verde y tratadas térmicamente fueron observadas por microscopia electrónica de barrido (SEM, JEOLJSM-6400) a diferentes amplificaciones que iban de los 5 000 x a 20 000 x</w:t>
      </w:r>
      <w:r w:rsidR="00F17167" w:rsidRPr="00B148B1">
        <w:rPr>
          <w:rFonts w:ascii="Arial" w:hAnsi="Arial" w:cs="Arial"/>
          <w:sz w:val="24"/>
          <w:szCs w:val="24"/>
          <w:lang w:val="es-MX"/>
        </w:rPr>
        <w:t>. Las muestras tratadas se caracterizaron por espectroscopia FTIR, SEM, Raman utilizando un área de escaneo láser de 532 nm</w:t>
      </w:r>
      <w:r w:rsidR="00F27513" w:rsidRPr="00B148B1">
        <w:rPr>
          <w:rFonts w:ascii="Arial" w:hAnsi="Arial" w:cs="Arial"/>
          <w:sz w:val="24"/>
          <w:szCs w:val="24"/>
          <w:lang w:val="es-MX"/>
        </w:rPr>
        <w:t>.</w:t>
      </w:r>
      <w:r w:rsidR="00F17167" w:rsidRPr="00B148B1">
        <w:rPr>
          <w:rFonts w:ascii="Arial" w:hAnsi="Arial" w:cs="Arial"/>
          <w:sz w:val="24"/>
          <w:szCs w:val="24"/>
          <w:lang w:val="es-MX"/>
        </w:rPr>
        <w:t xml:space="preserve"> de 5μm, y las fases cristalinas fueron identificadas por XRD con un difractómetro analítico </w:t>
      </w:r>
      <w:proofErr w:type="spellStart"/>
      <w:r w:rsidR="00F17167" w:rsidRPr="00B148B1">
        <w:rPr>
          <w:rFonts w:ascii="Arial" w:hAnsi="Arial" w:cs="Arial"/>
          <w:sz w:val="24"/>
          <w:szCs w:val="24"/>
          <w:lang w:val="es-MX"/>
        </w:rPr>
        <w:t>X´Pert</w:t>
      </w:r>
      <w:proofErr w:type="spellEnd"/>
      <w:r w:rsidR="00F17167" w:rsidRPr="00B148B1">
        <w:rPr>
          <w:rFonts w:ascii="Arial" w:hAnsi="Arial" w:cs="Arial"/>
          <w:sz w:val="24"/>
          <w:szCs w:val="24"/>
          <w:lang w:val="es-MX"/>
        </w:rPr>
        <w:t xml:space="preserve"> PRO-PAN con rango de exploración de 20</w:t>
      </w:r>
      <w:r w:rsidR="00747BDE" w:rsidRPr="00B148B1">
        <w:rPr>
          <w:rFonts w:ascii="Arial" w:hAnsi="Arial" w:cs="Arial"/>
          <w:sz w:val="24"/>
          <w:szCs w:val="24"/>
          <w:lang w:val="es-MX"/>
        </w:rPr>
        <w:t>°</w:t>
      </w:r>
      <w:r w:rsidR="00F17167" w:rsidRPr="00B148B1">
        <w:rPr>
          <w:rFonts w:ascii="Arial" w:hAnsi="Arial" w:cs="Arial"/>
          <w:sz w:val="24"/>
          <w:szCs w:val="24"/>
          <w:lang w:val="es-MX"/>
        </w:rPr>
        <w:t xml:space="preserve"> a 80° y velocidad de lata de 2°/min.</w:t>
      </w:r>
    </w:p>
    <w:p w14:paraId="3DFF6103" w14:textId="49A3AA9A" w:rsidR="003D30A9" w:rsidRPr="00B148B1" w:rsidRDefault="00500623" w:rsidP="001A0407">
      <w:pPr>
        <w:tabs>
          <w:tab w:val="left" w:pos="8130"/>
        </w:tabs>
        <w:spacing w:line="360" w:lineRule="auto"/>
        <w:jc w:val="both"/>
        <w:rPr>
          <w:rFonts w:ascii="Arial" w:hAnsi="Arial" w:cs="Arial"/>
          <w:b/>
          <w:sz w:val="24"/>
          <w:szCs w:val="24"/>
          <w:lang w:val="es-MX"/>
        </w:rPr>
      </w:pPr>
      <w:r w:rsidRPr="00B148B1">
        <w:rPr>
          <w:rFonts w:ascii="Arial" w:hAnsi="Arial" w:cs="Arial"/>
          <w:b/>
          <w:sz w:val="24"/>
          <w:szCs w:val="24"/>
          <w:lang w:val="es-MX"/>
        </w:rPr>
        <w:t>Resultados</w:t>
      </w:r>
    </w:p>
    <w:p w14:paraId="6037D38F" w14:textId="0AEDBCF9" w:rsidR="00DE37FD" w:rsidRPr="00B148B1" w:rsidRDefault="004343E9" w:rsidP="00DE37FD">
      <w:pPr>
        <w:tabs>
          <w:tab w:val="left" w:pos="8130"/>
        </w:tabs>
        <w:spacing w:line="360" w:lineRule="auto"/>
        <w:jc w:val="both"/>
        <w:rPr>
          <w:rFonts w:ascii="Arial" w:hAnsi="Arial" w:cs="Arial"/>
          <w:sz w:val="24"/>
          <w:szCs w:val="24"/>
          <w:lang w:val="es-MX"/>
        </w:rPr>
      </w:pPr>
      <w:r w:rsidRPr="00B148B1">
        <w:rPr>
          <w:rFonts w:ascii="Arial" w:hAnsi="Arial" w:cs="Arial"/>
          <w:noProof/>
          <w:sz w:val="24"/>
          <w:szCs w:val="24"/>
          <w:lang w:val="es-MX"/>
        </w:rPr>
        <w:t>El nitrato de estroncio es parcialmente soluble en ácido acético y etanol, por lo que fue necesario agregar agua para obtener las soluciones precursoras. Sin embargo, la cantidad de agua que se puede usar es limitada, ya que el isopropóxido de titanio puede formar geles.</w:t>
      </w:r>
      <w:r w:rsidR="00DE37FD" w:rsidRPr="00B148B1">
        <w:rPr>
          <w:rFonts w:ascii="Arial" w:hAnsi="Arial" w:cs="Arial"/>
          <w:noProof/>
          <w:sz w:val="24"/>
          <w:szCs w:val="24"/>
          <w:lang w:val="es-MX"/>
        </w:rPr>
        <w:t xml:space="preserve">  </w:t>
      </w:r>
      <w:r w:rsidRPr="00B148B1">
        <w:rPr>
          <w:rFonts w:ascii="Arial" w:hAnsi="Arial" w:cs="Arial"/>
          <w:noProof/>
          <w:sz w:val="24"/>
          <w:szCs w:val="24"/>
          <w:lang w:val="es-MX"/>
        </w:rPr>
        <w:t>Como resultado se escogió una solución de mayor concentración</w:t>
      </w:r>
      <w:r w:rsidR="00A31A68" w:rsidRPr="00B148B1">
        <w:rPr>
          <w:rFonts w:ascii="Arial" w:hAnsi="Arial" w:cs="Arial"/>
          <w:noProof/>
          <w:sz w:val="24"/>
          <w:szCs w:val="24"/>
          <w:lang w:val="es-MX"/>
        </w:rPr>
        <w:t xml:space="preserve">. </w:t>
      </w:r>
      <w:bookmarkStart w:id="2" w:name="_Hlk19390726"/>
      <w:r w:rsidRPr="00B148B1">
        <w:rPr>
          <w:rFonts w:ascii="Arial" w:hAnsi="Arial" w:cs="Arial"/>
          <w:noProof/>
          <w:sz w:val="24"/>
          <w:szCs w:val="24"/>
          <w:lang w:val="es-MX"/>
        </w:rPr>
        <w:t>Se seleccionó 0,3 M como la concentración máxima debido a que la solubilidad del titanato de estroncio en agua es baja y pueden formarse precipitados</w:t>
      </w:r>
      <w:r w:rsidR="00A31A68" w:rsidRPr="00B148B1">
        <w:rPr>
          <w:rFonts w:ascii="Arial" w:hAnsi="Arial" w:cs="Arial"/>
          <w:noProof/>
          <w:sz w:val="24"/>
          <w:szCs w:val="24"/>
          <w:lang w:val="es-MX"/>
        </w:rPr>
        <w:t xml:space="preserve"> </w:t>
      </w:r>
      <w:r w:rsidR="001A013C" w:rsidRPr="00B148B1">
        <w:rPr>
          <w:rFonts w:ascii="Arial" w:hAnsi="Arial" w:cs="Arial"/>
          <w:noProof/>
          <w:sz w:val="24"/>
          <w:szCs w:val="24"/>
          <w:lang w:val="es-MX"/>
        </w:rPr>
        <w:t>(</w:t>
      </w:r>
      <w:r w:rsidR="001A013C" w:rsidRPr="00B148B1">
        <w:rPr>
          <w:rFonts w:ascii="Arial" w:hAnsi="Arial" w:cs="Arial"/>
          <w:noProof/>
          <w:sz w:val="24"/>
          <w:szCs w:val="24"/>
          <w:lang w:val="es-ES"/>
        </w:rPr>
        <w:t xml:space="preserve">Wang, X., </w:t>
      </w:r>
      <w:r w:rsidR="001A013C" w:rsidRPr="00B148B1">
        <w:rPr>
          <w:rFonts w:ascii="Arial" w:hAnsi="Arial" w:cs="Arial"/>
          <w:i/>
          <w:iCs/>
          <w:noProof/>
          <w:sz w:val="24"/>
          <w:szCs w:val="24"/>
          <w:lang w:val="es-ES"/>
        </w:rPr>
        <w:t>et all.,</w:t>
      </w:r>
      <w:r w:rsidR="001A013C" w:rsidRPr="00B148B1">
        <w:rPr>
          <w:rFonts w:ascii="Arial" w:hAnsi="Arial" w:cs="Arial"/>
          <w:noProof/>
          <w:sz w:val="24"/>
          <w:szCs w:val="24"/>
          <w:lang w:val="es-ES"/>
        </w:rPr>
        <w:t xml:space="preserve"> 2008)</w:t>
      </w:r>
      <w:r w:rsidR="00DE37FD" w:rsidRPr="00B148B1">
        <w:rPr>
          <w:rFonts w:ascii="Arial" w:hAnsi="Arial" w:cs="Arial"/>
          <w:noProof/>
          <w:sz w:val="24"/>
          <w:szCs w:val="24"/>
          <w:lang w:val="es-ES"/>
        </w:rPr>
        <w:t xml:space="preserve">. </w:t>
      </w:r>
      <w:bookmarkEnd w:id="2"/>
      <w:r w:rsidR="001A013C" w:rsidRPr="00B148B1">
        <w:rPr>
          <w:rFonts w:ascii="Arial" w:hAnsi="Arial" w:cs="Arial"/>
          <w:noProof/>
          <w:sz w:val="24"/>
          <w:szCs w:val="24"/>
          <w:lang w:val="es-MX"/>
        </w:rPr>
        <w:t>La concentración de precursor es un parámetro esencial para la preparación eficiente de fibras mediante electrohilado y sol-gel porque afecta la viscosidad y la tensión superficial.</w:t>
      </w:r>
      <w:r w:rsidR="00DE37FD" w:rsidRPr="00B148B1">
        <w:rPr>
          <w:rFonts w:ascii="Arial" w:hAnsi="Arial" w:cs="Arial"/>
          <w:noProof/>
          <w:sz w:val="24"/>
          <w:szCs w:val="24"/>
          <w:lang w:val="es-MX"/>
        </w:rPr>
        <w:t xml:space="preserve"> </w:t>
      </w:r>
      <w:r w:rsidR="001A0407" w:rsidRPr="00B148B1">
        <w:rPr>
          <w:rFonts w:ascii="Arial" w:hAnsi="Arial" w:cs="Arial"/>
          <w:noProof/>
          <w:sz w:val="24"/>
          <w:szCs w:val="24"/>
          <w:lang w:val="es-MX"/>
        </w:rPr>
        <w:t xml:space="preserve">En la </w:t>
      </w:r>
      <w:r w:rsidR="001A013C" w:rsidRPr="00B148B1">
        <w:rPr>
          <w:rFonts w:ascii="Arial" w:hAnsi="Arial" w:cs="Arial"/>
          <w:noProof/>
          <w:sz w:val="24"/>
          <w:szCs w:val="24"/>
          <w:lang w:val="es-MX"/>
        </w:rPr>
        <w:t>Figura 1</w:t>
      </w:r>
      <w:r w:rsidR="00273148" w:rsidRPr="00B148B1">
        <w:rPr>
          <w:rFonts w:ascii="Arial" w:hAnsi="Arial" w:cs="Arial"/>
          <w:noProof/>
          <w:sz w:val="24"/>
          <w:szCs w:val="24"/>
          <w:lang w:val="es-MX"/>
        </w:rPr>
        <w:t>-</w:t>
      </w:r>
      <w:r w:rsidR="001A013C" w:rsidRPr="00B148B1">
        <w:rPr>
          <w:rFonts w:ascii="Arial" w:hAnsi="Arial" w:cs="Arial"/>
          <w:noProof/>
          <w:sz w:val="24"/>
          <w:szCs w:val="24"/>
          <w:lang w:val="es-MX"/>
        </w:rPr>
        <w:t xml:space="preserve">a </w:t>
      </w:r>
      <w:r w:rsidR="00DE37FD" w:rsidRPr="00B148B1">
        <w:rPr>
          <w:rFonts w:ascii="Arial" w:hAnsi="Arial" w:cs="Arial"/>
          <w:noProof/>
          <w:sz w:val="24"/>
          <w:szCs w:val="24"/>
          <w:lang w:val="es-MX"/>
        </w:rPr>
        <w:t xml:space="preserve">en las micrografias </w:t>
      </w:r>
      <w:r w:rsidR="001A013C" w:rsidRPr="00B148B1">
        <w:rPr>
          <w:rFonts w:ascii="Arial" w:hAnsi="Arial" w:cs="Arial"/>
          <w:noProof/>
          <w:sz w:val="24"/>
          <w:szCs w:val="24"/>
          <w:lang w:val="es-MX"/>
        </w:rPr>
        <w:t>se observaron cuencas con forma irregular generados por el aumento de la viscosidad debido a la polimerización del precursor cerámico durante el proceso sol-gel</w:t>
      </w:r>
      <w:r w:rsidR="007A2C3F" w:rsidRPr="00B148B1">
        <w:rPr>
          <w:rFonts w:ascii="Arial" w:hAnsi="Arial" w:cs="Arial"/>
          <w:noProof/>
          <w:sz w:val="24"/>
          <w:szCs w:val="24"/>
          <w:lang w:val="es-MX"/>
        </w:rPr>
        <w:t xml:space="preserve">. En la </w:t>
      </w:r>
      <w:r w:rsidR="001A013C" w:rsidRPr="00B148B1">
        <w:rPr>
          <w:rFonts w:ascii="Arial" w:hAnsi="Arial" w:cs="Arial"/>
          <w:noProof/>
          <w:sz w:val="24"/>
          <w:szCs w:val="24"/>
          <w:lang w:val="es-MX"/>
        </w:rPr>
        <w:t>Figura 1</w:t>
      </w:r>
      <w:r w:rsidR="00273148" w:rsidRPr="00B148B1">
        <w:rPr>
          <w:rFonts w:ascii="Arial" w:hAnsi="Arial" w:cs="Arial"/>
          <w:noProof/>
          <w:sz w:val="24"/>
          <w:szCs w:val="24"/>
          <w:lang w:val="es-MX"/>
        </w:rPr>
        <w:t>-</w:t>
      </w:r>
      <w:r w:rsidR="001A013C" w:rsidRPr="00B148B1">
        <w:rPr>
          <w:rFonts w:ascii="Arial" w:hAnsi="Arial" w:cs="Arial"/>
          <w:noProof/>
          <w:sz w:val="24"/>
          <w:szCs w:val="24"/>
          <w:lang w:val="es-MX"/>
        </w:rPr>
        <w:t xml:space="preserve">b consistían en fibras continuas, uniformes, no alineadas, con superficie lisa </w:t>
      </w:r>
      <w:r w:rsidR="007A2C3F" w:rsidRPr="00B148B1">
        <w:rPr>
          <w:rFonts w:ascii="Arial" w:hAnsi="Arial" w:cs="Arial"/>
          <w:noProof/>
          <w:sz w:val="24"/>
          <w:szCs w:val="24"/>
          <w:lang w:val="es-MX"/>
        </w:rPr>
        <w:t xml:space="preserve">y en la </w:t>
      </w:r>
      <w:r w:rsidR="001A013C" w:rsidRPr="00B148B1">
        <w:rPr>
          <w:rFonts w:ascii="Arial" w:hAnsi="Arial" w:cs="Arial"/>
          <w:noProof/>
          <w:sz w:val="24"/>
          <w:szCs w:val="24"/>
          <w:lang w:val="es-MX"/>
        </w:rPr>
        <w:t>Figura 1</w:t>
      </w:r>
      <w:r w:rsidR="00273148" w:rsidRPr="00B148B1">
        <w:rPr>
          <w:rFonts w:ascii="Arial" w:hAnsi="Arial" w:cs="Arial"/>
          <w:noProof/>
          <w:sz w:val="24"/>
          <w:szCs w:val="24"/>
          <w:lang w:val="es-MX"/>
        </w:rPr>
        <w:t>-</w:t>
      </w:r>
      <w:r w:rsidR="001A013C" w:rsidRPr="00B148B1">
        <w:rPr>
          <w:rFonts w:ascii="Arial" w:hAnsi="Arial" w:cs="Arial"/>
          <w:noProof/>
          <w:sz w:val="24"/>
          <w:szCs w:val="24"/>
          <w:lang w:val="es-MX"/>
        </w:rPr>
        <w:t xml:space="preserve">c </w:t>
      </w:r>
      <w:r w:rsidR="007A2C3F" w:rsidRPr="00B148B1">
        <w:rPr>
          <w:rFonts w:ascii="Arial" w:hAnsi="Arial" w:cs="Arial"/>
          <w:noProof/>
          <w:sz w:val="24"/>
          <w:szCs w:val="24"/>
          <w:lang w:val="es-MX"/>
        </w:rPr>
        <w:t>e</w:t>
      </w:r>
      <w:r w:rsidR="001A013C" w:rsidRPr="00B148B1">
        <w:rPr>
          <w:rFonts w:ascii="Arial" w:hAnsi="Arial" w:cs="Arial"/>
          <w:noProof/>
          <w:sz w:val="24"/>
          <w:szCs w:val="24"/>
          <w:lang w:val="es-MX"/>
        </w:rPr>
        <w:t xml:space="preserve">l titanio y el estroncio estaban presentes en proporciones muy bajas porque en esta etapa las fibras precursoras están compuestas principalmente por polímeros. </w:t>
      </w:r>
      <w:r w:rsidR="00DE37FD" w:rsidRPr="00B148B1">
        <w:rPr>
          <w:rFonts w:ascii="Arial" w:hAnsi="Arial" w:cs="Arial"/>
          <w:sz w:val="24"/>
          <w:szCs w:val="24"/>
          <w:lang w:val="es-MX"/>
        </w:rPr>
        <w:t xml:space="preserve">La Figura 2 muestra </w:t>
      </w:r>
      <w:r w:rsidR="00747BDE" w:rsidRPr="00B148B1">
        <w:rPr>
          <w:rFonts w:ascii="Arial" w:hAnsi="Arial" w:cs="Arial"/>
          <w:sz w:val="24"/>
          <w:szCs w:val="24"/>
          <w:lang w:val="es-MX"/>
        </w:rPr>
        <w:t>fibras</w:t>
      </w:r>
      <w:r w:rsidR="00DE37FD" w:rsidRPr="00B148B1">
        <w:rPr>
          <w:rFonts w:ascii="Arial" w:hAnsi="Arial" w:cs="Arial"/>
          <w:sz w:val="24"/>
          <w:szCs w:val="24"/>
          <w:lang w:val="es-MX"/>
        </w:rPr>
        <w:t xml:space="preserve"> obtenidas de la solución M2 envejecida durante 24 horas. En la Figura 2</w:t>
      </w:r>
      <w:r w:rsidR="00273148" w:rsidRPr="00B148B1">
        <w:rPr>
          <w:rFonts w:ascii="Arial" w:hAnsi="Arial" w:cs="Arial"/>
          <w:sz w:val="24"/>
          <w:szCs w:val="24"/>
          <w:lang w:val="es-MX"/>
        </w:rPr>
        <w:t>-</w:t>
      </w:r>
      <w:r w:rsidR="00DE37FD" w:rsidRPr="00B148B1">
        <w:rPr>
          <w:rFonts w:ascii="Arial" w:hAnsi="Arial" w:cs="Arial"/>
          <w:sz w:val="24"/>
          <w:szCs w:val="24"/>
          <w:lang w:val="es-MX"/>
        </w:rPr>
        <w:t>a muestra cuentas transparentes de forma irregular</w:t>
      </w:r>
      <w:r w:rsidR="007867B1" w:rsidRPr="00B148B1">
        <w:rPr>
          <w:rFonts w:ascii="Arial" w:hAnsi="Arial" w:cs="Arial"/>
          <w:sz w:val="24"/>
          <w:szCs w:val="24"/>
          <w:lang w:val="es-MX"/>
        </w:rPr>
        <w:t xml:space="preserve"> causados </w:t>
      </w:r>
      <w:r w:rsidR="00DE37FD" w:rsidRPr="00B148B1">
        <w:rPr>
          <w:rFonts w:ascii="Arial" w:hAnsi="Arial" w:cs="Arial"/>
          <w:sz w:val="24"/>
          <w:szCs w:val="24"/>
          <w:lang w:val="es-MX"/>
        </w:rPr>
        <w:t>por</w:t>
      </w:r>
      <w:r w:rsidR="007867B1" w:rsidRPr="00B148B1">
        <w:rPr>
          <w:rFonts w:ascii="Arial" w:hAnsi="Arial" w:cs="Arial"/>
          <w:sz w:val="24"/>
          <w:szCs w:val="24"/>
          <w:lang w:val="es-MX"/>
        </w:rPr>
        <w:t xml:space="preserve"> la inestabilidad del</w:t>
      </w:r>
      <w:r w:rsidR="00DE37FD" w:rsidRPr="00B148B1">
        <w:rPr>
          <w:rFonts w:ascii="Arial" w:hAnsi="Arial" w:cs="Arial"/>
          <w:sz w:val="24"/>
          <w:szCs w:val="24"/>
          <w:lang w:val="es-MX"/>
        </w:rPr>
        <w:t xml:space="preserve"> cono de Taylor</w:t>
      </w:r>
      <w:r w:rsidR="007867B1" w:rsidRPr="00B148B1">
        <w:rPr>
          <w:rFonts w:ascii="Arial" w:hAnsi="Arial" w:cs="Arial"/>
          <w:sz w:val="24"/>
          <w:szCs w:val="24"/>
          <w:lang w:val="es-MX"/>
        </w:rPr>
        <w:t xml:space="preserve"> </w:t>
      </w:r>
      <w:r w:rsidR="007867B1" w:rsidRPr="00B148B1">
        <w:rPr>
          <w:rFonts w:ascii="Arial" w:hAnsi="Arial" w:cs="Arial"/>
          <w:sz w:val="24"/>
          <w:szCs w:val="24"/>
          <w:lang w:val="es-MX"/>
        </w:rPr>
        <w:lastRenderedPageBreak/>
        <w:t>durante el electrohilado</w:t>
      </w:r>
      <w:r w:rsidR="00DE37FD" w:rsidRPr="00B148B1">
        <w:rPr>
          <w:rFonts w:ascii="Arial" w:hAnsi="Arial" w:cs="Arial"/>
          <w:sz w:val="24"/>
          <w:szCs w:val="24"/>
          <w:lang w:val="es-MX"/>
        </w:rPr>
        <w:t>, humedad</w:t>
      </w:r>
      <w:r w:rsidR="007867B1" w:rsidRPr="00B148B1">
        <w:rPr>
          <w:rFonts w:ascii="Arial" w:hAnsi="Arial" w:cs="Arial"/>
          <w:sz w:val="24"/>
          <w:szCs w:val="24"/>
          <w:lang w:val="es-MX"/>
        </w:rPr>
        <w:t xml:space="preserve"> y</w:t>
      </w:r>
      <w:r w:rsidR="00DE37FD" w:rsidRPr="00B148B1">
        <w:rPr>
          <w:rFonts w:ascii="Arial" w:hAnsi="Arial" w:cs="Arial"/>
          <w:sz w:val="24"/>
          <w:szCs w:val="24"/>
          <w:lang w:val="es-MX"/>
        </w:rPr>
        <w:t xml:space="preserve"> voltaje, en la Figura 2</w:t>
      </w:r>
      <w:r w:rsidR="00273148" w:rsidRPr="00B148B1">
        <w:rPr>
          <w:rFonts w:ascii="Arial" w:hAnsi="Arial" w:cs="Arial"/>
          <w:sz w:val="24"/>
          <w:szCs w:val="24"/>
          <w:lang w:val="es-MX"/>
        </w:rPr>
        <w:t>-</w:t>
      </w:r>
      <w:r w:rsidR="00DE37FD" w:rsidRPr="00B148B1">
        <w:rPr>
          <w:rFonts w:ascii="Arial" w:hAnsi="Arial" w:cs="Arial"/>
          <w:sz w:val="24"/>
          <w:szCs w:val="24"/>
          <w:lang w:val="es-MX"/>
        </w:rPr>
        <w:t>b muestra fibras continúas alineadas y en la Figura 2</w:t>
      </w:r>
      <w:r w:rsidR="00273148" w:rsidRPr="00B148B1">
        <w:rPr>
          <w:rFonts w:ascii="Arial" w:hAnsi="Arial" w:cs="Arial"/>
          <w:sz w:val="24"/>
          <w:szCs w:val="24"/>
          <w:lang w:val="es-MX"/>
        </w:rPr>
        <w:t>-</w:t>
      </w:r>
      <w:r w:rsidR="00DE37FD" w:rsidRPr="00B148B1">
        <w:rPr>
          <w:rFonts w:ascii="Arial" w:hAnsi="Arial" w:cs="Arial"/>
          <w:sz w:val="24"/>
          <w:szCs w:val="24"/>
          <w:lang w:val="es-MX"/>
        </w:rPr>
        <w:t>c la presencia de picos correspondientes al titanio y al estroncio es pequeña, porque las fibras estaban compuestas principalmente de polímero (PVP).</w:t>
      </w:r>
    </w:p>
    <w:p w14:paraId="1A56EFBF" w14:textId="58BC10F4" w:rsidR="005E71B7" w:rsidRPr="00B148B1" w:rsidRDefault="00532E81" w:rsidP="00DE37FD">
      <w:pPr>
        <w:tabs>
          <w:tab w:val="left" w:pos="8130"/>
        </w:tabs>
        <w:spacing w:line="360" w:lineRule="auto"/>
        <w:jc w:val="center"/>
        <w:rPr>
          <w:rFonts w:ascii="Arial" w:hAnsi="Arial" w:cs="Arial"/>
          <w:noProof/>
          <w:sz w:val="24"/>
          <w:szCs w:val="24"/>
          <w:lang w:val="es-ES"/>
        </w:rPr>
      </w:pPr>
      <w:r w:rsidRPr="00B148B1">
        <w:rPr>
          <w:rFonts w:ascii="Arial" w:hAnsi="Arial" w:cs="Arial"/>
          <w:noProof/>
          <w:sz w:val="24"/>
          <w:szCs w:val="24"/>
        </w:rPr>
        <w:drawing>
          <wp:inline distT="0" distB="0" distL="0" distR="0" wp14:anchorId="55B58713" wp14:editId="37CD80C8">
            <wp:extent cx="4245966" cy="2800898"/>
            <wp:effectExtent l="0" t="0" r="254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0705" t="14927" r="21064" b="14821"/>
                    <a:stretch/>
                  </pic:blipFill>
                  <pic:spPr bwMode="auto">
                    <a:xfrm>
                      <a:off x="0" y="0"/>
                      <a:ext cx="4247863" cy="2802149"/>
                    </a:xfrm>
                    <a:prstGeom prst="rect">
                      <a:avLst/>
                    </a:prstGeom>
                    <a:ln>
                      <a:noFill/>
                    </a:ln>
                    <a:extLst>
                      <a:ext uri="{53640926-AAD7-44D8-BBD7-CCE9431645EC}">
                        <a14:shadowObscured xmlns:a14="http://schemas.microsoft.com/office/drawing/2010/main"/>
                      </a:ext>
                    </a:extLst>
                  </pic:spPr>
                </pic:pic>
              </a:graphicData>
            </a:graphic>
          </wp:inline>
        </w:drawing>
      </w:r>
    </w:p>
    <w:p w14:paraId="530B961B" w14:textId="2894775A" w:rsidR="00D32DD3" w:rsidRPr="00B148B1" w:rsidRDefault="00D32DD3" w:rsidP="001A0407">
      <w:pPr>
        <w:tabs>
          <w:tab w:val="left" w:pos="8130"/>
        </w:tabs>
        <w:spacing w:line="360" w:lineRule="auto"/>
        <w:jc w:val="both"/>
        <w:rPr>
          <w:rFonts w:ascii="Arial" w:hAnsi="Arial" w:cs="Arial"/>
          <w:sz w:val="24"/>
          <w:szCs w:val="24"/>
          <w:lang w:val="es-MX"/>
        </w:rPr>
      </w:pPr>
      <w:r w:rsidRPr="00B148B1">
        <w:rPr>
          <w:rFonts w:ascii="Arial" w:hAnsi="Arial" w:cs="Arial"/>
          <w:sz w:val="24"/>
          <w:szCs w:val="24"/>
          <w:lang w:val="es-MX"/>
        </w:rPr>
        <w:t>Fig</w:t>
      </w:r>
      <w:r w:rsidR="00F54276" w:rsidRPr="00B148B1">
        <w:rPr>
          <w:rFonts w:ascii="Arial" w:hAnsi="Arial" w:cs="Arial"/>
          <w:sz w:val="24"/>
          <w:szCs w:val="24"/>
          <w:lang w:val="es-MX"/>
        </w:rPr>
        <w:t>ura</w:t>
      </w:r>
      <w:r w:rsidRPr="00B148B1">
        <w:rPr>
          <w:rFonts w:ascii="Arial" w:hAnsi="Arial" w:cs="Arial"/>
          <w:sz w:val="24"/>
          <w:szCs w:val="24"/>
          <w:lang w:val="es-MX"/>
        </w:rPr>
        <w:t xml:space="preserve"> 1: Imágenes SEM de fibras verdes hiladas obtenidas de M2: a) 5,000X, b) 200,000X, c) espectro EDX y d) Histograma.</w:t>
      </w:r>
    </w:p>
    <w:p w14:paraId="26012F80" w14:textId="77777777" w:rsidR="00DE37FD" w:rsidRPr="00B148B1" w:rsidRDefault="00532E81" w:rsidP="00DE37FD">
      <w:pPr>
        <w:tabs>
          <w:tab w:val="left" w:pos="8130"/>
        </w:tabs>
        <w:spacing w:line="360" w:lineRule="auto"/>
        <w:jc w:val="center"/>
        <w:rPr>
          <w:rFonts w:ascii="Arial" w:hAnsi="Arial" w:cs="Arial"/>
          <w:noProof/>
          <w:sz w:val="24"/>
          <w:szCs w:val="24"/>
        </w:rPr>
      </w:pPr>
      <w:r w:rsidRPr="00B148B1">
        <w:rPr>
          <w:rFonts w:ascii="Arial" w:hAnsi="Arial" w:cs="Arial"/>
          <w:noProof/>
          <w:sz w:val="24"/>
          <w:szCs w:val="24"/>
        </w:rPr>
        <w:drawing>
          <wp:inline distT="0" distB="0" distL="0" distR="0" wp14:anchorId="650F3F3B" wp14:editId="6D1229F5">
            <wp:extent cx="4274025" cy="2785132"/>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0348" t="15284" r="20680" b="14037"/>
                    <a:stretch/>
                  </pic:blipFill>
                  <pic:spPr bwMode="auto">
                    <a:xfrm>
                      <a:off x="0" y="0"/>
                      <a:ext cx="4276409" cy="2786686"/>
                    </a:xfrm>
                    <a:prstGeom prst="rect">
                      <a:avLst/>
                    </a:prstGeom>
                    <a:ln>
                      <a:noFill/>
                    </a:ln>
                    <a:extLst>
                      <a:ext uri="{53640926-AAD7-44D8-BBD7-CCE9431645EC}">
                        <a14:shadowObscured xmlns:a14="http://schemas.microsoft.com/office/drawing/2010/main"/>
                      </a:ext>
                    </a:extLst>
                  </pic:spPr>
                </pic:pic>
              </a:graphicData>
            </a:graphic>
          </wp:inline>
        </w:drawing>
      </w:r>
    </w:p>
    <w:p w14:paraId="557EA5E8" w14:textId="2144E016" w:rsidR="00D32DD3" w:rsidRPr="00B148B1" w:rsidRDefault="00D32DD3" w:rsidP="00AD1C03">
      <w:pPr>
        <w:tabs>
          <w:tab w:val="left" w:pos="8130"/>
        </w:tabs>
        <w:spacing w:line="360" w:lineRule="auto"/>
        <w:jc w:val="both"/>
        <w:rPr>
          <w:rFonts w:ascii="Arial" w:hAnsi="Arial" w:cs="Arial"/>
          <w:noProof/>
          <w:sz w:val="24"/>
          <w:szCs w:val="24"/>
          <w:lang w:val="es-ES"/>
        </w:rPr>
      </w:pPr>
      <w:r w:rsidRPr="00B148B1">
        <w:rPr>
          <w:rFonts w:ascii="Arial" w:hAnsi="Arial" w:cs="Arial"/>
          <w:noProof/>
          <w:sz w:val="24"/>
          <w:szCs w:val="24"/>
          <w:lang w:val="es-ES"/>
        </w:rPr>
        <w:t>Fig</w:t>
      </w:r>
      <w:r w:rsidR="00F54276" w:rsidRPr="00B148B1">
        <w:rPr>
          <w:rFonts w:ascii="Arial" w:hAnsi="Arial" w:cs="Arial"/>
          <w:noProof/>
          <w:sz w:val="24"/>
          <w:szCs w:val="24"/>
          <w:lang w:val="es-ES"/>
        </w:rPr>
        <w:t xml:space="preserve">ura </w:t>
      </w:r>
      <w:r w:rsidRPr="00B148B1">
        <w:rPr>
          <w:rFonts w:ascii="Arial" w:hAnsi="Arial" w:cs="Arial"/>
          <w:noProof/>
          <w:sz w:val="24"/>
          <w:szCs w:val="24"/>
          <w:lang w:val="es-ES"/>
        </w:rPr>
        <w:t>2: Imágenes SEM de fibras verdes hiladas obtenidas de M2 envejecido 24 h: a) 5,000X, b) 20,000X, c) espectro EDX y d) Histograma.</w:t>
      </w:r>
    </w:p>
    <w:p w14:paraId="68355A0A" w14:textId="1313C64D" w:rsidR="007A2C3F" w:rsidRPr="00B148B1" w:rsidRDefault="007A2C3F" w:rsidP="001A0407">
      <w:pPr>
        <w:tabs>
          <w:tab w:val="left" w:pos="8130"/>
        </w:tabs>
        <w:spacing w:line="360" w:lineRule="auto"/>
        <w:jc w:val="both"/>
        <w:rPr>
          <w:rFonts w:ascii="Arial" w:hAnsi="Arial" w:cs="Arial"/>
          <w:noProof/>
          <w:sz w:val="24"/>
          <w:szCs w:val="24"/>
          <w:lang w:val="es-MX"/>
        </w:rPr>
      </w:pPr>
      <w:r w:rsidRPr="00B148B1">
        <w:rPr>
          <w:rFonts w:ascii="Arial" w:hAnsi="Arial" w:cs="Arial"/>
          <w:noProof/>
          <w:sz w:val="24"/>
          <w:szCs w:val="24"/>
          <w:lang w:val="es-ES"/>
        </w:rPr>
        <w:lastRenderedPageBreak/>
        <w:t xml:space="preserve">En el análisis de la técnica de espectroscopía infrarroja </w:t>
      </w:r>
      <w:r w:rsidR="007867B1" w:rsidRPr="00B148B1">
        <w:rPr>
          <w:rFonts w:ascii="Arial" w:hAnsi="Arial" w:cs="Arial"/>
          <w:noProof/>
          <w:sz w:val="24"/>
          <w:szCs w:val="24"/>
          <w:lang w:val="es-ES"/>
        </w:rPr>
        <w:t>de la Figura</w:t>
      </w:r>
      <w:r w:rsidR="00273148" w:rsidRPr="00B148B1">
        <w:rPr>
          <w:rFonts w:ascii="Arial" w:hAnsi="Arial" w:cs="Arial"/>
          <w:noProof/>
          <w:sz w:val="24"/>
          <w:szCs w:val="24"/>
          <w:lang w:val="es-ES"/>
        </w:rPr>
        <w:t xml:space="preserve"> </w:t>
      </w:r>
      <w:r w:rsidR="007867B1" w:rsidRPr="00B148B1">
        <w:rPr>
          <w:rFonts w:ascii="Arial" w:hAnsi="Arial" w:cs="Arial"/>
          <w:noProof/>
          <w:sz w:val="24"/>
          <w:szCs w:val="24"/>
          <w:lang w:val="es-ES"/>
        </w:rPr>
        <w:t>3</w:t>
      </w:r>
      <w:r w:rsidR="00273148" w:rsidRPr="00B148B1">
        <w:rPr>
          <w:rFonts w:ascii="Arial" w:hAnsi="Arial" w:cs="Arial"/>
          <w:noProof/>
          <w:sz w:val="24"/>
          <w:szCs w:val="24"/>
          <w:lang w:val="es-ES"/>
        </w:rPr>
        <w:t>-</w:t>
      </w:r>
      <w:r w:rsidR="007867B1" w:rsidRPr="00B148B1">
        <w:rPr>
          <w:rFonts w:ascii="Arial" w:hAnsi="Arial" w:cs="Arial"/>
          <w:noProof/>
          <w:sz w:val="24"/>
          <w:szCs w:val="24"/>
          <w:lang w:val="es-ES"/>
        </w:rPr>
        <w:t>a</w:t>
      </w:r>
      <w:r w:rsidRPr="00B148B1">
        <w:rPr>
          <w:rFonts w:ascii="Arial" w:hAnsi="Arial" w:cs="Arial"/>
          <w:noProof/>
          <w:sz w:val="24"/>
          <w:szCs w:val="24"/>
          <w:lang w:val="es-ES"/>
        </w:rPr>
        <w:t xml:space="preserve"> </w:t>
      </w:r>
      <w:r w:rsidRPr="00B148B1">
        <w:rPr>
          <w:rFonts w:ascii="Arial" w:hAnsi="Arial" w:cs="Arial"/>
          <w:noProof/>
          <w:sz w:val="24"/>
          <w:szCs w:val="24"/>
          <w:lang w:val="es-MX"/>
        </w:rPr>
        <w:t>no presentaron diferencia entre las dos muestras, sin embaro, en la banda 3420 cm-1 se observa la presencia de un hidroxilo. La mayoría de las bandas de PVP características se observan en la zona de huellas digitales en el rango de 1200 a 1700</w:t>
      </w:r>
      <w:r w:rsidR="00273148" w:rsidRPr="00B148B1">
        <w:rPr>
          <w:rFonts w:ascii="Arial" w:hAnsi="Arial" w:cs="Arial"/>
          <w:noProof/>
          <w:sz w:val="24"/>
          <w:szCs w:val="24"/>
          <w:lang w:val="es-MX"/>
        </w:rPr>
        <w:t xml:space="preserve"> </w:t>
      </w:r>
      <w:r w:rsidRPr="00B148B1">
        <w:rPr>
          <w:rFonts w:ascii="Arial" w:hAnsi="Arial" w:cs="Arial"/>
          <w:noProof/>
          <w:sz w:val="24"/>
          <w:szCs w:val="24"/>
          <w:lang w:val="es-MX"/>
        </w:rPr>
        <w:t>cm-1. En la Figura 3</w:t>
      </w:r>
      <w:r w:rsidR="00273148" w:rsidRPr="00B148B1">
        <w:rPr>
          <w:rFonts w:ascii="Arial" w:hAnsi="Arial" w:cs="Arial"/>
          <w:noProof/>
          <w:sz w:val="24"/>
          <w:szCs w:val="24"/>
          <w:lang w:val="es-MX"/>
        </w:rPr>
        <w:t>-</w:t>
      </w:r>
      <w:r w:rsidRPr="00B148B1">
        <w:rPr>
          <w:rFonts w:ascii="Arial" w:hAnsi="Arial" w:cs="Arial"/>
          <w:noProof/>
          <w:sz w:val="24"/>
          <w:szCs w:val="24"/>
          <w:lang w:val="es-MX"/>
        </w:rPr>
        <w:t>b, muestra espectros Infrarrojos en el intérvalo de 800-400 cm-1 de muestras tratadas a 4 temperaturas diferentes. La muestra de la solución M2 permitió un mejor electrohilado y presenta fibras uniformes después del tratamiento térmico ya que el envejecimiento de la solución aumenta la resistencia de las fibras. Las bandas a 745, 680 y 540 cm-1 corresponden a enlaces Sr-O, Ti-O-Ti  y Ti-O</w:t>
      </w:r>
    </w:p>
    <w:p w14:paraId="0185C30E" w14:textId="01153FFF" w:rsidR="007A2C3F" w:rsidRPr="00B148B1" w:rsidRDefault="00C521A5" w:rsidP="001A0407">
      <w:pPr>
        <w:tabs>
          <w:tab w:val="left" w:pos="8130"/>
        </w:tabs>
        <w:spacing w:line="360" w:lineRule="auto"/>
        <w:jc w:val="both"/>
        <w:rPr>
          <w:rFonts w:ascii="Arial" w:hAnsi="Arial" w:cs="Arial"/>
          <w:noProof/>
          <w:sz w:val="24"/>
          <w:szCs w:val="24"/>
          <w:lang w:val="es-MX"/>
        </w:rPr>
      </w:pPr>
      <w:r w:rsidRPr="00B148B1">
        <w:rPr>
          <w:rFonts w:ascii="Arial" w:hAnsi="Arial" w:cs="Arial"/>
          <w:noProof/>
          <w:sz w:val="24"/>
          <w:szCs w:val="24"/>
          <w:lang w:val="es-MX"/>
        </w:rPr>
        <w:drawing>
          <wp:inline distT="0" distB="0" distL="0" distR="0" wp14:anchorId="6069F2D1" wp14:editId="1F6F04BB">
            <wp:extent cx="5938520" cy="2590165"/>
            <wp:effectExtent l="0" t="0" r="5080" b="63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8520" cy="2590165"/>
                    </a:xfrm>
                    <a:prstGeom prst="rect">
                      <a:avLst/>
                    </a:prstGeom>
                    <a:noFill/>
                    <a:ln>
                      <a:noFill/>
                    </a:ln>
                  </pic:spPr>
                </pic:pic>
              </a:graphicData>
            </a:graphic>
          </wp:inline>
        </w:drawing>
      </w:r>
    </w:p>
    <w:p w14:paraId="133FA51B" w14:textId="77777777" w:rsidR="007A2C3F" w:rsidRPr="00B148B1" w:rsidRDefault="007A2C3F" w:rsidP="001A0407">
      <w:pPr>
        <w:tabs>
          <w:tab w:val="left" w:pos="8130"/>
        </w:tabs>
        <w:spacing w:line="360" w:lineRule="auto"/>
        <w:jc w:val="both"/>
        <w:rPr>
          <w:rFonts w:ascii="Arial" w:hAnsi="Arial" w:cs="Arial"/>
          <w:noProof/>
          <w:sz w:val="24"/>
          <w:szCs w:val="24"/>
          <w:lang w:val="es-ES"/>
        </w:rPr>
        <w:sectPr w:rsidR="007A2C3F" w:rsidRPr="00B148B1" w:rsidSect="003D30A9">
          <w:type w:val="continuous"/>
          <w:pgSz w:w="12240" w:h="15840"/>
          <w:pgMar w:top="1440" w:right="1440" w:bottom="1440" w:left="1440" w:header="720" w:footer="720" w:gutter="0"/>
          <w:cols w:space="720"/>
          <w:docGrid w:linePitch="360"/>
        </w:sectPr>
      </w:pPr>
    </w:p>
    <w:p w14:paraId="154189A5" w14:textId="77777777" w:rsidR="00AD1C03" w:rsidRPr="00B148B1" w:rsidRDefault="00D32DD3" w:rsidP="001A0407">
      <w:pPr>
        <w:tabs>
          <w:tab w:val="left" w:pos="8130"/>
        </w:tabs>
        <w:spacing w:line="360" w:lineRule="auto"/>
        <w:jc w:val="both"/>
        <w:rPr>
          <w:rFonts w:ascii="Arial" w:hAnsi="Arial" w:cs="Arial"/>
          <w:noProof/>
          <w:sz w:val="24"/>
          <w:szCs w:val="24"/>
          <w:lang w:val="es-ES"/>
        </w:rPr>
      </w:pPr>
      <w:r w:rsidRPr="00B148B1">
        <w:rPr>
          <w:rFonts w:ascii="Arial" w:hAnsi="Arial" w:cs="Arial"/>
          <w:noProof/>
          <w:sz w:val="24"/>
          <w:szCs w:val="24"/>
          <w:lang w:val="es-ES"/>
        </w:rPr>
        <w:t>Fig</w:t>
      </w:r>
      <w:r w:rsidR="00AD1C03" w:rsidRPr="00B148B1">
        <w:rPr>
          <w:rFonts w:ascii="Arial" w:hAnsi="Arial" w:cs="Arial"/>
          <w:noProof/>
          <w:sz w:val="24"/>
          <w:szCs w:val="24"/>
          <w:lang w:val="es-ES"/>
        </w:rPr>
        <w:t xml:space="preserve">ura </w:t>
      </w:r>
      <w:r w:rsidRPr="00B148B1">
        <w:rPr>
          <w:rFonts w:ascii="Arial" w:hAnsi="Arial" w:cs="Arial"/>
          <w:noProof/>
          <w:sz w:val="24"/>
          <w:szCs w:val="24"/>
          <w:lang w:val="es-ES"/>
        </w:rPr>
        <w:t>3</w:t>
      </w:r>
      <w:r w:rsidR="00AD1C03" w:rsidRPr="00B148B1">
        <w:rPr>
          <w:rFonts w:ascii="Arial" w:hAnsi="Arial" w:cs="Arial"/>
          <w:noProof/>
          <w:sz w:val="24"/>
          <w:szCs w:val="24"/>
          <w:lang w:val="es-ES"/>
        </w:rPr>
        <w:t>.</w:t>
      </w:r>
      <w:r w:rsidR="007A2C3F" w:rsidRPr="00B148B1">
        <w:rPr>
          <w:rFonts w:ascii="Arial" w:hAnsi="Arial" w:cs="Arial"/>
          <w:noProof/>
          <w:sz w:val="24"/>
          <w:szCs w:val="24"/>
          <w:lang w:val="es-ES"/>
        </w:rPr>
        <w:t xml:space="preserve"> </w:t>
      </w:r>
      <w:r w:rsidR="00AD1C03" w:rsidRPr="00B148B1">
        <w:rPr>
          <w:rFonts w:ascii="Arial" w:hAnsi="Arial" w:cs="Arial"/>
          <w:noProof/>
          <w:sz w:val="24"/>
          <w:szCs w:val="24"/>
          <w:lang w:val="es-ES"/>
        </w:rPr>
        <w:t>a)</w:t>
      </w:r>
      <w:r w:rsidRPr="00B148B1">
        <w:rPr>
          <w:rFonts w:ascii="Arial" w:hAnsi="Arial" w:cs="Arial"/>
          <w:noProof/>
          <w:sz w:val="24"/>
          <w:szCs w:val="24"/>
          <w:lang w:val="es-ES"/>
        </w:rPr>
        <w:t xml:space="preserve"> Espectros infrarrojos de fibras verdes </w:t>
      </w:r>
      <w:r w:rsidR="00AD1C03" w:rsidRPr="00B148B1">
        <w:rPr>
          <w:rFonts w:ascii="Arial" w:hAnsi="Arial" w:cs="Arial"/>
          <w:noProof/>
          <w:sz w:val="24"/>
          <w:szCs w:val="24"/>
          <w:lang w:val="es-ES"/>
        </w:rPr>
        <w:t>(</w:t>
      </w:r>
      <w:r w:rsidRPr="00B148B1">
        <w:rPr>
          <w:rFonts w:ascii="Arial" w:hAnsi="Arial" w:cs="Arial"/>
          <w:noProof/>
          <w:sz w:val="24"/>
          <w:szCs w:val="24"/>
          <w:lang w:val="es-ES"/>
        </w:rPr>
        <w:t>M1 y M2</w:t>
      </w:r>
      <w:r w:rsidR="00AD1C03" w:rsidRPr="00B148B1">
        <w:rPr>
          <w:rFonts w:ascii="Arial" w:hAnsi="Arial" w:cs="Arial"/>
          <w:noProof/>
          <w:sz w:val="24"/>
          <w:szCs w:val="24"/>
          <w:lang w:val="es-ES"/>
        </w:rPr>
        <w:t xml:space="preserve">) y </w:t>
      </w:r>
      <w:r w:rsidR="007A2C3F" w:rsidRPr="00B148B1">
        <w:rPr>
          <w:rFonts w:ascii="Arial" w:hAnsi="Arial" w:cs="Arial"/>
          <w:noProof/>
          <w:sz w:val="24"/>
          <w:szCs w:val="24"/>
          <w:lang w:val="es-ES"/>
        </w:rPr>
        <w:t>b</w:t>
      </w:r>
      <w:r w:rsidR="00AD1C03" w:rsidRPr="00B148B1">
        <w:rPr>
          <w:rFonts w:ascii="Arial" w:hAnsi="Arial" w:cs="Arial"/>
          <w:noProof/>
          <w:sz w:val="24"/>
          <w:szCs w:val="24"/>
          <w:lang w:val="es-ES"/>
        </w:rPr>
        <w:t>)</w:t>
      </w:r>
      <w:r w:rsidR="00F651CE" w:rsidRPr="00B148B1">
        <w:rPr>
          <w:rFonts w:ascii="Arial" w:hAnsi="Arial" w:cs="Arial"/>
          <w:noProof/>
          <w:sz w:val="24"/>
          <w:szCs w:val="24"/>
          <w:lang w:val="es-ES"/>
        </w:rPr>
        <w:t xml:space="preserve"> </w:t>
      </w:r>
      <w:r w:rsidR="00AD1C03" w:rsidRPr="00B148B1">
        <w:rPr>
          <w:rFonts w:ascii="Arial" w:hAnsi="Arial" w:cs="Arial"/>
          <w:noProof/>
          <w:sz w:val="24"/>
          <w:szCs w:val="24"/>
          <w:lang w:val="es-ES"/>
        </w:rPr>
        <w:t>a</w:t>
      </w:r>
      <w:r w:rsidR="00F651CE" w:rsidRPr="00B148B1">
        <w:rPr>
          <w:rFonts w:ascii="Arial" w:hAnsi="Arial" w:cs="Arial"/>
          <w:noProof/>
          <w:sz w:val="24"/>
          <w:szCs w:val="24"/>
          <w:lang w:val="es-ES"/>
        </w:rPr>
        <w:t>mplificación de espectros infrarrojos de muestra M2 tratada a diferentes temperaturas</w:t>
      </w:r>
      <w:r w:rsidR="00AD1C03" w:rsidRPr="00B148B1">
        <w:rPr>
          <w:rFonts w:ascii="Arial" w:hAnsi="Arial" w:cs="Arial"/>
          <w:noProof/>
          <w:sz w:val="24"/>
          <w:szCs w:val="24"/>
          <w:lang w:val="es-ES"/>
        </w:rPr>
        <w:t>.</w:t>
      </w:r>
    </w:p>
    <w:p w14:paraId="56A8AC47" w14:textId="6B12DF47" w:rsidR="007F5871" w:rsidRPr="00B148B1" w:rsidRDefault="00C234BF" w:rsidP="007F5871">
      <w:pPr>
        <w:tabs>
          <w:tab w:val="left" w:pos="8130"/>
        </w:tabs>
        <w:spacing w:line="360" w:lineRule="auto"/>
        <w:jc w:val="both"/>
        <w:rPr>
          <w:rFonts w:ascii="Arial" w:hAnsi="Arial" w:cs="Arial"/>
          <w:noProof/>
          <w:sz w:val="24"/>
          <w:szCs w:val="24"/>
          <w:lang w:val="es-MX"/>
        </w:rPr>
      </w:pPr>
      <w:r w:rsidRPr="00B148B1">
        <w:rPr>
          <w:rFonts w:ascii="Arial" w:hAnsi="Arial" w:cs="Arial"/>
          <w:sz w:val="24"/>
          <w:szCs w:val="24"/>
          <w:lang w:val="es-MX"/>
        </w:rPr>
        <w:t>El análisis termogravimétrico (TGA) de las fibras obtenidas de la solución M1 se muestra en la Figura 4</w:t>
      </w:r>
      <w:r w:rsidR="00273148" w:rsidRPr="00B148B1">
        <w:rPr>
          <w:rFonts w:ascii="Arial" w:hAnsi="Arial" w:cs="Arial"/>
          <w:sz w:val="24"/>
          <w:szCs w:val="24"/>
          <w:lang w:val="es-MX"/>
        </w:rPr>
        <w:t>-</w:t>
      </w:r>
      <w:r w:rsidR="007F5871" w:rsidRPr="00B148B1">
        <w:rPr>
          <w:rFonts w:ascii="Arial" w:hAnsi="Arial" w:cs="Arial"/>
          <w:sz w:val="24"/>
          <w:szCs w:val="24"/>
          <w:lang w:val="es-MX"/>
        </w:rPr>
        <w:t>a</w:t>
      </w:r>
      <w:r w:rsidRPr="00B148B1">
        <w:rPr>
          <w:rFonts w:ascii="Arial" w:hAnsi="Arial" w:cs="Arial"/>
          <w:sz w:val="24"/>
          <w:szCs w:val="24"/>
          <w:lang w:val="es-MX"/>
        </w:rPr>
        <w:t>, en donde la primera pérdida de peso es causada por la eliminación del agua estructural a una temperatura de 20-200</w:t>
      </w:r>
      <w:r w:rsidR="00C521A5" w:rsidRPr="00B148B1">
        <w:rPr>
          <w:rFonts w:ascii="Arial" w:hAnsi="Arial" w:cs="Arial"/>
          <w:sz w:val="24"/>
          <w:szCs w:val="24"/>
          <w:lang w:val="es-MX"/>
        </w:rPr>
        <w:t xml:space="preserve"> </w:t>
      </w:r>
      <w:r w:rsidRPr="00B148B1">
        <w:rPr>
          <w:rFonts w:ascii="Arial" w:hAnsi="Arial" w:cs="Arial"/>
          <w:sz w:val="24"/>
          <w:szCs w:val="24"/>
          <w:lang w:val="es-MX"/>
        </w:rPr>
        <w:t>°C. La descomposición térmica de la materia orgánica y la generación de CO</w:t>
      </w:r>
      <w:r w:rsidRPr="00B148B1">
        <w:rPr>
          <w:rFonts w:ascii="Arial" w:hAnsi="Arial" w:cs="Arial"/>
          <w:sz w:val="24"/>
          <w:szCs w:val="24"/>
          <w:vertAlign w:val="subscript"/>
          <w:lang w:val="es-MX"/>
        </w:rPr>
        <w:t>2</w:t>
      </w:r>
      <w:r w:rsidRPr="00B148B1">
        <w:rPr>
          <w:rFonts w:ascii="Arial" w:hAnsi="Arial" w:cs="Arial"/>
          <w:sz w:val="24"/>
          <w:szCs w:val="24"/>
          <w:lang w:val="es-MX"/>
        </w:rPr>
        <w:t xml:space="preserve"> tuvieron lugar entre 350 y 480 °C</w:t>
      </w:r>
      <w:r w:rsidR="007867B1" w:rsidRPr="00B148B1">
        <w:rPr>
          <w:rFonts w:ascii="Arial" w:hAnsi="Arial" w:cs="Arial"/>
          <w:sz w:val="24"/>
          <w:szCs w:val="24"/>
          <w:lang w:val="es-MX"/>
        </w:rPr>
        <w:t>.</w:t>
      </w:r>
      <w:r w:rsidRPr="00B148B1">
        <w:rPr>
          <w:rFonts w:ascii="Arial" w:hAnsi="Arial" w:cs="Arial"/>
          <w:sz w:val="24"/>
          <w:szCs w:val="24"/>
          <w:lang w:val="es-MX"/>
        </w:rPr>
        <w:t xml:space="preserve"> La pérdida de peso máxima se observa a 640 °C, lo que representa la eliminación de N</w:t>
      </w:r>
      <w:r w:rsidRPr="00B148B1">
        <w:rPr>
          <w:rFonts w:ascii="Arial" w:hAnsi="Arial" w:cs="Arial"/>
          <w:sz w:val="24"/>
          <w:szCs w:val="24"/>
          <w:vertAlign w:val="subscript"/>
          <w:lang w:val="es-MX"/>
        </w:rPr>
        <w:t>2</w:t>
      </w:r>
      <w:r w:rsidRPr="00B148B1">
        <w:rPr>
          <w:rFonts w:ascii="Arial" w:hAnsi="Arial" w:cs="Arial"/>
          <w:sz w:val="24"/>
          <w:szCs w:val="24"/>
          <w:lang w:val="es-MX"/>
        </w:rPr>
        <w:t xml:space="preserve"> y la descomposición térmica completa del material orgánico. La pérdida de peso es causada por la oxidación del material cerámico.</w:t>
      </w:r>
      <w:r w:rsidR="00AD1C03" w:rsidRPr="00B148B1">
        <w:rPr>
          <w:rFonts w:ascii="Arial" w:hAnsi="Arial" w:cs="Arial"/>
          <w:sz w:val="24"/>
          <w:szCs w:val="24"/>
          <w:lang w:val="es-MX"/>
        </w:rPr>
        <w:t xml:space="preserve"> </w:t>
      </w:r>
      <w:r w:rsidRPr="00B148B1">
        <w:rPr>
          <w:rFonts w:ascii="Arial" w:hAnsi="Arial" w:cs="Arial"/>
          <w:sz w:val="24"/>
          <w:szCs w:val="24"/>
          <w:lang w:val="es-MX"/>
        </w:rPr>
        <w:t xml:space="preserve">En la técnica de calorimetría de barrido diferencial el agua estructural se perdió entre 200 y 300 °C, mientras que la descomposición del material orgánico se observó a 400-480 °C con un punto de inflexión a 425 °C. La </w:t>
      </w:r>
      <w:r w:rsidRPr="00B148B1">
        <w:rPr>
          <w:rFonts w:ascii="Arial" w:hAnsi="Arial" w:cs="Arial"/>
          <w:sz w:val="24"/>
          <w:szCs w:val="24"/>
          <w:lang w:val="es-MX"/>
        </w:rPr>
        <w:lastRenderedPageBreak/>
        <w:t>eliminación de N</w:t>
      </w:r>
      <w:r w:rsidRPr="00B148B1">
        <w:rPr>
          <w:rFonts w:ascii="Arial" w:hAnsi="Arial" w:cs="Arial"/>
          <w:sz w:val="24"/>
          <w:szCs w:val="24"/>
          <w:vertAlign w:val="subscript"/>
          <w:lang w:val="es-MX"/>
        </w:rPr>
        <w:t xml:space="preserve">2 </w:t>
      </w:r>
      <w:r w:rsidRPr="00B148B1">
        <w:rPr>
          <w:rFonts w:ascii="Arial" w:hAnsi="Arial" w:cs="Arial"/>
          <w:sz w:val="24"/>
          <w:szCs w:val="24"/>
          <w:lang w:val="es-MX"/>
        </w:rPr>
        <w:t>está representada por la zona a 560–640 °C, con un mínimo de 600 °C. La sinterización del material cerámico se observa como un pico endotérmico alrededor de 1343 °C.</w:t>
      </w:r>
      <w:r w:rsidR="007F5871" w:rsidRPr="00B148B1">
        <w:rPr>
          <w:rFonts w:ascii="Arial" w:hAnsi="Arial" w:cs="Arial"/>
          <w:sz w:val="24"/>
          <w:szCs w:val="24"/>
          <w:lang w:val="es-MX"/>
        </w:rPr>
        <w:t xml:space="preserve"> </w:t>
      </w:r>
      <w:r w:rsidR="007F5871" w:rsidRPr="00B148B1">
        <w:rPr>
          <w:rFonts w:ascii="Arial" w:hAnsi="Arial" w:cs="Arial"/>
          <w:noProof/>
          <w:sz w:val="24"/>
          <w:szCs w:val="24"/>
          <w:lang w:val="es-MX"/>
        </w:rPr>
        <w:t>En la Figura 4-b muestra los espectros Raman obtenidas de la solución M2, después del tratamiento térmico a 800, 1000 y 1200 ° C. El cambio en las bandas Raman puede atribuirse a las impurezas de TiO</w:t>
      </w:r>
      <w:r w:rsidR="007F5871" w:rsidRPr="00B148B1">
        <w:rPr>
          <w:rFonts w:ascii="Arial" w:hAnsi="Arial" w:cs="Arial"/>
          <w:noProof/>
          <w:sz w:val="24"/>
          <w:szCs w:val="24"/>
          <w:vertAlign w:val="subscript"/>
          <w:lang w:val="es-MX"/>
        </w:rPr>
        <w:t>2</w:t>
      </w:r>
      <w:r w:rsidR="007F5871" w:rsidRPr="00B148B1">
        <w:rPr>
          <w:rFonts w:ascii="Arial" w:hAnsi="Arial" w:cs="Arial"/>
          <w:noProof/>
          <w:sz w:val="24"/>
          <w:szCs w:val="24"/>
          <w:lang w:val="es-MX"/>
        </w:rPr>
        <w:t xml:space="preserve"> en las muestras. La forma e intensidad de las bandas están influenciadas por el tipo de láser utilizado. Los enlaces químicos no se vieron afectados por el tratamiento a tres temperaturas diferentes. En la técnica de Difracción de Rayos X de la solución M2 </w:t>
      </w:r>
      <w:r w:rsidR="002C3AFE" w:rsidRPr="00B148B1">
        <w:rPr>
          <w:rFonts w:ascii="Arial" w:hAnsi="Arial" w:cs="Arial"/>
          <w:noProof/>
          <w:sz w:val="24"/>
          <w:szCs w:val="24"/>
          <w:lang w:val="es-MX"/>
        </w:rPr>
        <w:t xml:space="preserve">de la </w:t>
      </w:r>
      <w:r w:rsidR="00B148B1" w:rsidRPr="00B148B1">
        <w:rPr>
          <w:rFonts w:ascii="Arial" w:hAnsi="Arial" w:cs="Arial"/>
          <w:noProof/>
          <w:sz w:val="24"/>
          <w:szCs w:val="24"/>
          <w:lang w:val="es-MX"/>
        </w:rPr>
        <w:t>F</w:t>
      </w:r>
      <w:r w:rsidR="002C3AFE" w:rsidRPr="00B148B1">
        <w:rPr>
          <w:rFonts w:ascii="Arial" w:hAnsi="Arial" w:cs="Arial"/>
          <w:noProof/>
          <w:sz w:val="24"/>
          <w:szCs w:val="24"/>
          <w:lang w:val="es-MX"/>
        </w:rPr>
        <w:t xml:space="preserve">igura 4-c </w:t>
      </w:r>
      <w:r w:rsidR="007F5871" w:rsidRPr="00B148B1">
        <w:rPr>
          <w:rFonts w:ascii="Arial" w:hAnsi="Arial" w:cs="Arial"/>
          <w:noProof/>
          <w:sz w:val="24"/>
          <w:szCs w:val="24"/>
          <w:lang w:val="es-MX"/>
        </w:rPr>
        <w:t>después del tratamiento térmico a 800, 1000 y 1200°C, los picos característicos del titanato de estroncio se observan a 23, 32, 40, 47, 58, 69 y 77 °</w:t>
      </w:r>
      <w:r w:rsidR="00B148B1" w:rsidRPr="00B148B1">
        <w:rPr>
          <w:rFonts w:ascii="Arial" w:hAnsi="Arial" w:cs="Arial"/>
          <w:noProof/>
          <w:sz w:val="24"/>
          <w:szCs w:val="24"/>
          <w:lang w:val="es-MX"/>
        </w:rPr>
        <w:t>.</w:t>
      </w:r>
    </w:p>
    <w:p w14:paraId="0BBAFFF9" w14:textId="74D10840" w:rsidR="00C234BF" w:rsidRPr="00B148B1" w:rsidRDefault="007F5871" w:rsidP="002C3AFE">
      <w:pPr>
        <w:tabs>
          <w:tab w:val="left" w:pos="8130"/>
        </w:tabs>
        <w:spacing w:line="360" w:lineRule="auto"/>
        <w:jc w:val="center"/>
        <w:rPr>
          <w:rFonts w:ascii="Arial" w:hAnsi="Arial" w:cs="Arial"/>
          <w:sz w:val="24"/>
          <w:szCs w:val="24"/>
          <w:lang w:val="es-MX"/>
        </w:rPr>
      </w:pPr>
      <w:r w:rsidRPr="00B148B1">
        <w:rPr>
          <w:rFonts w:ascii="Arial" w:hAnsi="Arial" w:cs="Arial"/>
          <w:noProof/>
          <w:sz w:val="24"/>
          <w:szCs w:val="24"/>
          <w:lang w:val="es-MX"/>
        </w:rPr>
        <w:drawing>
          <wp:inline distT="0" distB="0" distL="0" distR="0" wp14:anchorId="534D05A3" wp14:editId="7BEA2E75">
            <wp:extent cx="5424971" cy="4320000"/>
            <wp:effectExtent l="0" t="0" r="4445" b="444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1336"/>
                    <a:stretch/>
                  </pic:blipFill>
                  <pic:spPr bwMode="auto">
                    <a:xfrm>
                      <a:off x="0" y="0"/>
                      <a:ext cx="5424971" cy="4320000"/>
                    </a:xfrm>
                    <a:prstGeom prst="rect">
                      <a:avLst/>
                    </a:prstGeom>
                    <a:noFill/>
                    <a:ln>
                      <a:noFill/>
                    </a:ln>
                    <a:extLst>
                      <a:ext uri="{53640926-AAD7-44D8-BBD7-CCE9431645EC}">
                        <a14:shadowObscured xmlns:a14="http://schemas.microsoft.com/office/drawing/2010/main"/>
                      </a:ext>
                    </a:extLst>
                  </pic:spPr>
                </pic:pic>
              </a:graphicData>
            </a:graphic>
          </wp:inline>
        </w:drawing>
      </w:r>
    </w:p>
    <w:p w14:paraId="25C84C5A" w14:textId="38E68808" w:rsidR="00C234BF" w:rsidRPr="00B148B1" w:rsidRDefault="00C234BF" w:rsidP="001A0407">
      <w:pPr>
        <w:tabs>
          <w:tab w:val="left" w:pos="8130"/>
        </w:tabs>
        <w:spacing w:line="360" w:lineRule="auto"/>
        <w:jc w:val="both"/>
        <w:rPr>
          <w:rFonts w:ascii="Arial" w:hAnsi="Arial" w:cs="Arial"/>
          <w:noProof/>
          <w:sz w:val="24"/>
          <w:szCs w:val="24"/>
          <w:lang w:val="es-ES"/>
        </w:rPr>
      </w:pPr>
      <w:r w:rsidRPr="00B148B1">
        <w:rPr>
          <w:rFonts w:ascii="Arial" w:hAnsi="Arial" w:cs="Arial"/>
          <w:noProof/>
          <w:sz w:val="24"/>
          <w:szCs w:val="24"/>
          <w:lang w:val="es-ES"/>
        </w:rPr>
        <w:t>Fig</w:t>
      </w:r>
      <w:r w:rsidR="007F5871" w:rsidRPr="00B148B1">
        <w:rPr>
          <w:rFonts w:ascii="Arial" w:hAnsi="Arial" w:cs="Arial"/>
          <w:noProof/>
          <w:sz w:val="24"/>
          <w:szCs w:val="24"/>
          <w:lang w:val="es-ES"/>
        </w:rPr>
        <w:t xml:space="preserve">ura </w:t>
      </w:r>
      <w:r w:rsidRPr="00B148B1">
        <w:rPr>
          <w:rFonts w:ascii="Arial" w:hAnsi="Arial" w:cs="Arial"/>
          <w:noProof/>
          <w:sz w:val="24"/>
          <w:szCs w:val="24"/>
          <w:lang w:val="es-ES"/>
        </w:rPr>
        <w:t>4</w:t>
      </w:r>
      <w:r w:rsidR="007F5871" w:rsidRPr="00B148B1">
        <w:rPr>
          <w:rFonts w:ascii="Arial" w:hAnsi="Arial" w:cs="Arial"/>
          <w:noProof/>
          <w:sz w:val="24"/>
          <w:szCs w:val="24"/>
          <w:lang w:val="es-ES"/>
        </w:rPr>
        <w:t>.</w:t>
      </w:r>
      <w:r w:rsidRPr="00B148B1">
        <w:rPr>
          <w:rFonts w:ascii="Arial" w:hAnsi="Arial" w:cs="Arial"/>
          <w:noProof/>
          <w:sz w:val="24"/>
          <w:szCs w:val="24"/>
          <w:lang w:val="es-ES"/>
        </w:rPr>
        <w:t xml:space="preserve"> </w:t>
      </w:r>
      <w:r w:rsidR="007F5871" w:rsidRPr="00B148B1">
        <w:rPr>
          <w:rFonts w:ascii="Arial" w:hAnsi="Arial" w:cs="Arial"/>
          <w:noProof/>
          <w:sz w:val="24"/>
          <w:szCs w:val="24"/>
          <w:lang w:val="es-ES"/>
        </w:rPr>
        <w:t xml:space="preserve">a) </w:t>
      </w:r>
      <w:r w:rsidRPr="00B148B1">
        <w:rPr>
          <w:rFonts w:ascii="Arial" w:hAnsi="Arial" w:cs="Arial"/>
          <w:noProof/>
          <w:sz w:val="24"/>
          <w:szCs w:val="24"/>
          <w:lang w:val="es-ES"/>
        </w:rPr>
        <w:t>termograma TGA (negro) y DSC (azul) de fibras hiladas obtenidas de M1</w:t>
      </w:r>
      <w:r w:rsidR="002C3AFE" w:rsidRPr="00B148B1">
        <w:rPr>
          <w:rFonts w:ascii="Arial" w:hAnsi="Arial" w:cs="Arial"/>
          <w:noProof/>
          <w:sz w:val="24"/>
          <w:szCs w:val="24"/>
          <w:lang w:val="es-ES"/>
        </w:rPr>
        <w:t>,</w:t>
      </w:r>
      <w:r w:rsidR="007F5871" w:rsidRPr="00B148B1">
        <w:rPr>
          <w:rFonts w:ascii="Arial" w:hAnsi="Arial" w:cs="Arial"/>
          <w:noProof/>
          <w:sz w:val="24"/>
          <w:szCs w:val="24"/>
          <w:lang w:val="es-ES"/>
        </w:rPr>
        <w:t xml:space="preserve"> b) </w:t>
      </w:r>
      <w:r w:rsidRPr="00B148B1">
        <w:rPr>
          <w:rFonts w:ascii="Arial" w:hAnsi="Arial" w:cs="Arial"/>
          <w:noProof/>
          <w:sz w:val="24"/>
          <w:szCs w:val="24"/>
          <w:lang w:val="es-ES"/>
        </w:rPr>
        <w:t xml:space="preserve">espectros Raman de muestra M2 tratada térmicamente </w:t>
      </w:r>
      <w:r w:rsidR="002C3AFE" w:rsidRPr="00B148B1">
        <w:rPr>
          <w:rFonts w:ascii="Arial" w:hAnsi="Arial" w:cs="Arial"/>
          <w:noProof/>
          <w:sz w:val="24"/>
          <w:szCs w:val="24"/>
          <w:lang w:val="es-ES"/>
        </w:rPr>
        <w:t>(</w:t>
      </w:r>
      <w:r w:rsidRPr="00B148B1">
        <w:rPr>
          <w:rFonts w:ascii="Arial" w:hAnsi="Arial" w:cs="Arial"/>
          <w:noProof/>
          <w:sz w:val="24"/>
          <w:szCs w:val="24"/>
          <w:lang w:val="es-ES"/>
        </w:rPr>
        <w:t>a 800, 1000 y 1200 °C</w:t>
      </w:r>
      <w:r w:rsidR="002C3AFE" w:rsidRPr="00B148B1">
        <w:rPr>
          <w:rFonts w:ascii="Arial" w:hAnsi="Arial" w:cs="Arial"/>
          <w:noProof/>
          <w:sz w:val="24"/>
          <w:szCs w:val="24"/>
          <w:lang w:val="es-ES"/>
        </w:rPr>
        <w:t>) y c)</w:t>
      </w:r>
      <w:r w:rsidRPr="00B148B1">
        <w:rPr>
          <w:rFonts w:ascii="Arial" w:hAnsi="Arial" w:cs="Arial"/>
          <w:noProof/>
          <w:sz w:val="24"/>
          <w:szCs w:val="24"/>
          <w:lang w:val="es-ES"/>
        </w:rPr>
        <w:t xml:space="preserve"> Patrón XRD de fibras de titanato de estroncio a 800 ° C (negro), 1000 ° C (rojo) y 1200 ° C (azul).</w:t>
      </w:r>
    </w:p>
    <w:p w14:paraId="71AA4EA1" w14:textId="31B2694C" w:rsidR="002C3AFE" w:rsidRPr="00B148B1" w:rsidRDefault="0030532E" w:rsidP="002C3AFE">
      <w:pPr>
        <w:tabs>
          <w:tab w:val="left" w:pos="8130"/>
        </w:tabs>
        <w:spacing w:line="360" w:lineRule="auto"/>
        <w:jc w:val="both"/>
        <w:rPr>
          <w:rFonts w:ascii="Arial" w:hAnsi="Arial" w:cs="Arial"/>
          <w:sz w:val="24"/>
          <w:szCs w:val="24"/>
          <w:lang w:val="es-MX"/>
        </w:rPr>
      </w:pPr>
      <w:r w:rsidRPr="00B148B1">
        <w:rPr>
          <w:rFonts w:ascii="Arial" w:hAnsi="Arial" w:cs="Arial"/>
          <w:noProof/>
          <w:sz w:val="24"/>
          <w:szCs w:val="24"/>
          <w:lang w:val="es-MX"/>
        </w:rPr>
        <w:lastRenderedPageBreak/>
        <w:t xml:space="preserve">En la Figura </w:t>
      </w:r>
      <w:r w:rsidR="002C3AFE" w:rsidRPr="00B148B1">
        <w:rPr>
          <w:rFonts w:ascii="Arial" w:hAnsi="Arial" w:cs="Arial"/>
          <w:noProof/>
          <w:sz w:val="24"/>
          <w:szCs w:val="24"/>
          <w:lang w:val="es-MX"/>
        </w:rPr>
        <w:t xml:space="preserve">5 se </w:t>
      </w:r>
      <w:r w:rsidRPr="00B148B1">
        <w:rPr>
          <w:rFonts w:ascii="Arial" w:hAnsi="Arial" w:cs="Arial"/>
          <w:noProof/>
          <w:sz w:val="24"/>
          <w:szCs w:val="24"/>
          <w:lang w:val="es-MX"/>
        </w:rPr>
        <w:t xml:space="preserve">muestra </w:t>
      </w:r>
      <w:r w:rsidR="001A0407" w:rsidRPr="00B148B1">
        <w:rPr>
          <w:rFonts w:ascii="Arial" w:hAnsi="Arial" w:cs="Arial"/>
          <w:noProof/>
          <w:sz w:val="24"/>
          <w:szCs w:val="24"/>
          <w:lang w:val="es-MX"/>
        </w:rPr>
        <w:t xml:space="preserve">las imágenes SEM de </w:t>
      </w:r>
      <w:r w:rsidRPr="00B148B1">
        <w:rPr>
          <w:rFonts w:ascii="Arial" w:hAnsi="Arial" w:cs="Arial"/>
          <w:noProof/>
          <w:sz w:val="24"/>
          <w:szCs w:val="24"/>
          <w:lang w:val="es-MX"/>
        </w:rPr>
        <w:t xml:space="preserve">la solución M2 después del tratamiento a 800 °C, en </w:t>
      </w:r>
      <w:r w:rsidR="001A0407" w:rsidRPr="00B148B1">
        <w:rPr>
          <w:rFonts w:ascii="Arial" w:hAnsi="Arial" w:cs="Arial"/>
          <w:noProof/>
          <w:sz w:val="24"/>
          <w:szCs w:val="24"/>
          <w:lang w:val="es-MX"/>
        </w:rPr>
        <w:t>l</w:t>
      </w:r>
      <w:r w:rsidRPr="00B148B1">
        <w:rPr>
          <w:rFonts w:ascii="Arial" w:hAnsi="Arial" w:cs="Arial"/>
          <w:noProof/>
          <w:sz w:val="24"/>
          <w:szCs w:val="24"/>
          <w:lang w:val="es-MX"/>
        </w:rPr>
        <w:t xml:space="preserve">a Figura </w:t>
      </w:r>
      <w:r w:rsidR="002C3AFE" w:rsidRPr="00B148B1">
        <w:rPr>
          <w:rFonts w:ascii="Arial" w:hAnsi="Arial" w:cs="Arial"/>
          <w:noProof/>
          <w:sz w:val="24"/>
          <w:szCs w:val="24"/>
          <w:lang w:val="es-MX"/>
        </w:rPr>
        <w:t>5-</w:t>
      </w:r>
      <w:r w:rsidRPr="00B148B1">
        <w:rPr>
          <w:rFonts w:ascii="Arial" w:hAnsi="Arial" w:cs="Arial"/>
          <w:noProof/>
          <w:sz w:val="24"/>
          <w:szCs w:val="24"/>
          <w:lang w:val="es-MX"/>
        </w:rPr>
        <w:t xml:space="preserve">a se observó que las fibras no estaban alineadas, y algunas perlas blancas estaban presentes, en la Figura </w:t>
      </w:r>
      <w:r w:rsidR="002C3AFE" w:rsidRPr="00B148B1">
        <w:rPr>
          <w:rFonts w:ascii="Arial" w:hAnsi="Arial" w:cs="Arial"/>
          <w:noProof/>
          <w:sz w:val="24"/>
          <w:szCs w:val="24"/>
          <w:lang w:val="es-MX"/>
        </w:rPr>
        <w:t>5-</w:t>
      </w:r>
      <w:r w:rsidRPr="00B148B1">
        <w:rPr>
          <w:rFonts w:ascii="Arial" w:hAnsi="Arial" w:cs="Arial"/>
          <w:noProof/>
          <w:sz w:val="24"/>
          <w:szCs w:val="24"/>
          <w:lang w:val="es-MX"/>
        </w:rPr>
        <w:t xml:space="preserve">b </w:t>
      </w:r>
      <w:r w:rsidR="002C3AFE" w:rsidRPr="00B148B1">
        <w:rPr>
          <w:rFonts w:ascii="Arial" w:hAnsi="Arial" w:cs="Arial"/>
          <w:noProof/>
          <w:sz w:val="24"/>
          <w:szCs w:val="24"/>
          <w:lang w:val="es-MX"/>
        </w:rPr>
        <w:t xml:space="preserve">a mayor amplificacion se </w:t>
      </w:r>
      <w:r w:rsidRPr="00B148B1">
        <w:rPr>
          <w:rFonts w:ascii="Arial" w:hAnsi="Arial" w:cs="Arial"/>
          <w:noProof/>
          <w:sz w:val="24"/>
          <w:szCs w:val="24"/>
          <w:lang w:val="es-MX"/>
        </w:rPr>
        <w:t>muestra fibras continuas con superficie lisa</w:t>
      </w:r>
      <w:r w:rsidR="001A0407" w:rsidRPr="00B148B1">
        <w:rPr>
          <w:rFonts w:ascii="Arial" w:hAnsi="Arial" w:cs="Arial"/>
          <w:noProof/>
          <w:sz w:val="24"/>
          <w:szCs w:val="24"/>
          <w:lang w:val="es-MX"/>
        </w:rPr>
        <w:t xml:space="preserve">, disminuyendo el diámetro medio debido a la </w:t>
      </w:r>
      <w:r w:rsidRPr="00B148B1">
        <w:rPr>
          <w:rFonts w:ascii="Arial" w:hAnsi="Arial" w:cs="Arial"/>
          <w:noProof/>
          <w:sz w:val="24"/>
          <w:szCs w:val="24"/>
          <w:lang w:val="es-MX"/>
        </w:rPr>
        <w:t xml:space="preserve">descomposición térmica de PVP. </w:t>
      </w:r>
      <w:r w:rsidR="00F54276" w:rsidRPr="00B148B1">
        <w:rPr>
          <w:rFonts w:ascii="Arial" w:hAnsi="Arial" w:cs="Arial"/>
          <w:noProof/>
          <w:sz w:val="24"/>
          <w:szCs w:val="24"/>
          <w:lang w:val="es-MX"/>
        </w:rPr>
        <w:t>En la Figura 6-a muestra</w:t>
      </w:r>
      <w:r w:rsidR="00273148" w:rsidRPr="00B148B1">
        <w:rPr>
          <w:rFonts w:ascii="Arial" w:hAnsi="Arial" w:cs="Arial"/>
          <w:noProof/>
          <w:sz w:val="24"/>
          <w:szCs w:val="24"/>
          <w:lang w:val="es-MX"/>
        </w:rPr>
        <w:t xml:space="preserve"> fibras</w:t>
      </w:r>
      <w:r w:rsidR="00B148B1" w:rsidRPr="00B148B1">
        <w:rPr>
          <w:rFonts w:ascii="Arial" w:hAnsi="Arial" w:cs="Arial"/>
          <w:noProof/>
          <w:sz w:val="24"/>
          <w:szCs w:val="24"/>
          <w:lang w:val="es-MX"/>
        </w:rPr>
        <w:t xml:space="preserve"> lisas y en forma redonda</w:t>
      </w:r>
      <w:r w:rsidR="00273148" w:rsidRPr="00B148B1">
        <w:rPr>
          <w:rFonts w:ascii="Arial" w:hAnsi="Arial" w:cs="Arial"/>
          <w:noProof/>
          <w:sz w:val="24"/>
          <w:szCs w:val="24"/>
          <w:lang w:val="es-MX"/>
        </w:rPr>
        <w:t xml:space="preserve"> tratadas a 1000 °C</w:t>
      </w:r>
      <w:r w:rsidR="00B148B1" w:rsidRPr="00B148B1">
        <w:rPr>
          <w:rFonts w:ascii="Arial" w:hAnsi="Arial" w:cs="Arial"/>
          <w:noProof/>
          <w:sz w:val="24"/>
          <w:szCs w:val="24"/>
          <w:lang w:val="es-MX"/>
        </w:rPr>
        <w:t xml:space="preserve"> aumentando el diámetro medio</w:t>
      </w:r>
      <w:r w:rsidR="00273148" w:rsidRPr="00B148B1">
        <w:rPr>
          <w:rFonts w:ascii="Arial" w:hAnsi="Arial" w:cs="Arial"/>
          <w:noProof/>
          <w:sz w:val="24"/>
          <w:szCs w:val="24"/>
          <w:lang w:val="es-MX"/>
        </w:rPr>
        <w:t>,</w:t>
      </w:r>
      <w:r w:rsidR="00B148B1" w:rsidRPr="00B148B1">
        <w:rPr>
          <w:rFonts w:ascii="Arial" w:hAnsi="Arial" w:cs="Arial"/>
          <w:noProof/>
          <w:sz w:val="24"/>
          <w:szCs w:val="24"/>
          <w:lang w:val="es-MX"/>
        </w:rPr>
        <w:t xml:space="preserve"> en la Figura 6-b muestra algunas fibras rotas.</w:t>
      </w:r>
      <w:r w:rsidR="00273148" w:rsidRPr="00B148B1">
        <w:rPr>
          <w:rFonts w:ascii="Arial" w:hAnsi="Arial" w:cs="Arial"/>
          <w:noProof/>
          <w:sz w:val="24"/>
          <w:szCs w:val="24"/>
          <w:lang w:val="es-MX"/>
        </w:rPr>
        <w:t xml:space="preserve"> </w:t>
      </w:r>
    </w:p>
    <w:p w14:paraId="52D45E79" w14:textId="2A779E52" w:rsidR="00F26D7F" w:rsidRPr="00B148B1" w:rsidRDefault="00532E81" w:rsidP="002C3AFE">
      <w:pPr>
        <w:tabs>
          <w:tab w:val="left" w:pos="8130"/>
        </w:tabs>
        <w:spacing w:line="360" w:lineRule="auto"/>
        <w:jc w:val="center"/>
        <w:rPr>
          <w:rFonts w:ascii="Arial" w:hAnsi="Arial" w:cs="Arial"/>
          <w:noProof/>
          <w:sz w:val="24"/>
          <w:szCs w:val="24"/>
          <w:lang w:val="es-ES"/>
        </w:rPr>
      </w:pPr>
      <w:r w:rsidRPr="00B148B1">
        <w:rPr>
          <w:rFonts w:ascii="Arial" w:hAnsi="Arial" w:cs="Arial"/>
          <w:noProof/>
          <w:sz w:val="24"/>
          <w:szCs w:val="24"/>
        </w:rPr>
        <w:drawing>
          <wp:inline distT="0" distB="0" distL="0" distR="0" wp14:anchorId="4FE209E8" wp14:editId="1DB0D22D">
            <wp:extent cx="3405781" cy="2364827"/>
            <wp:effectExtent l="0" t="0" r="444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0019" t="14762" r="20012" b="15770"/>
                    <a:stretch/>
                  </pic:blipFill>
                  <pic:spPr bwMode="auto">
                    <a:xfrm>
                      <a:off x="0" y="0"/>
                      <a:ext cx="3419417" cy="2374295"/>
                    </a:xfrm>
                    <a:prstGeom prst="rect">
                      <a:avLst/>
                    </a:prstGeom>
                    <a:ln>
                      <a:noFill/>
                    </a:ln>
                    <a:extLst>
                      <a:ext uri="{53640926-AAD7-44D8-BBD7-CCE9431645EC}">
                        <a14:shadowObscured xmlns:a14="http://schemas.microsoft.com/office/drawing/2010/main"/>
                      </a:ext>
                    </a:extLst>
                  </pic:spPr>
                </pic:pic>
              </a:graphicData>
            </a:graphic>
          </wp:inline>
        </w:drawing>
      </w:r>
    </w:p>
    <w:p w14:paraId="4592E0A3" w14:textId="549B3DD9" w:rsidR="00F26D7F" w:rsidRPr="00B148B1" w:rsidRDefault="00F26D7F" w:rsidP="001A0407">
      <w:pPr>
        <w:tabs>
          <w:tab w:val="left" w:pos="8130"/>
        </w:tabs>
        <w:spacing w:line="360" w:lineRule="auto"/>
        <w:jc w:val="both"/>
        <w:rPr>
          <w:rFonts w:ascii="Arial" w:hAnsi="Arial" w:cs="Arial"/>
          <w:sz w:val="24"/>
          <w:szCs w:val="24"/>
          <w:lang w:val="es-MX"/>
        </w:rPr>
      </w:pPr>
      <w:r w:rsidRPr="00B148B1">
        <w:rPr>
          <w:rFonts w:ascii="Arial" w:hAnsi="Arial" w:cs="Arial"/>
          <w:sz w:val="24"/>
          <w:szCs w:val="24"/>
          <w:lang w:val="es-MX"/>
        </w:rPr>
        <w:t>Fig</w:t>
      </w:r>
      <w:r w:rsidR="002C3AFE" w:rsidRPr="00B148B1">
        <w:rPr>
          <w:rFonts w:ascii="Arial" w:hAnsi="Arial" w:cs="Arial"/>
          <w:sz w:val="24"/>
          <w:szCs w:val="24"/>
          <w:lang w:val="es-MX"/>
        </w:rPr>
        <w:t>ura 5</w:t>
      </w:r>
      <w:r w:rsidRPr="00B148B1">
        <w:rPr>
          <w:rFonts w:ascii="Arial" w:hAnsi="Arial" w:cs="Arial"/>
          <w:sz w:val="24"/>
          <w:szCs w:val="24"/>
          <w:lang w:val="es-MX"/>
        </w:rPr>
        <w:t>: Imágenes SEM de fibras de titanato de estroncio después del tratamiento térmico a 800 ° C: a) 10,000X; b) 50,000X, c) espectro EDX y d) histograma</w:t>
      </w:r>
    </w:p>
    <w:p w14:paraId="741AA29D" w14:textId="77777777" w:rsidR="0030532E" w:rsidRPr="00B148B1" w:rsidRDefault="0030532E" w:rsidP="002C3AFE">
      <w:pPr>
        <w:tabs>
          <w:tab w:val="left" w:pos="8130"/>
        </w:tabs>
        <w:spacing w:line="360" w:lineRule="auto"/>
        <w:jc w:val="center"/>
        <w:rPr>
          <w:rFonts w:ascii="Arial" w:hAnsi="Arial" w:cs="Arial"/>
          <w:sz w:val="24"/>
          <w:szCs w:val="24"/>
          <w:lang w:val="es-MX"/>
        </w:rPr>
      </w:pPr>
      <w:r w:rsidRPr="00B148B1">
        <w:rPr>
          <w:rFonts w:ascii="Arial" w:hAnsi="Arial" w:cs="Arial"/>
          <w:noProof/>
          <w:sz w:val="24"/>
          <w:szCs w:val="24"/>
        </w:rPr>
        <w:drawing>
          <wp:inline distT="0" distB="0" distL="0" distR="0" wp14:anchorId="24C963FF" wp14:editId="0CE63AFF">
            <wp:extent cx="3379817" cy="2349698"/>
            <wp:effectExtent l="0" t="0" r="0" b="0"/>
            <wp:docPr id="4" name="Imagen 3">
              <a:extLst xmlns:a="http://schemas.openxmlformats.org/drawingml/2006/main">
                <a:ext uri="{FF2B5EF4-FFF2-40B4-BE49-F238E27FC236}">
                  <a16:creationId xmlns:a16="http://schemas.microsoft.com/office/drawing/2014/main" id="{567F0EED-6CD4-4AEA-8B75-E86C8BD437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567F0EED-6CD4-4AEA-8B75-E86C8BD437A2}"/>
                        </a:ext>
                      </a:extLst>
                    </pic:cNvPr>
                    <pic:cNvPicPr>
                      <a:picLocks noChangeAspect="1"/>
                    </pic:cNvPicPr>
                  </pic:nvPicPr>
                  <pic:blipFill rotWithShape="1">
                    <a:blip r:embed="rId11"/>
                    <a:srcRect l="23337" t="12737" r="23371" b="15994"/>
                    <a:stretch/>
                  </pic:blipFill>
                  <pic:spPr bwMode="auto">
                    <a:xfrm>
                      <a:off x="0" y="0"/>
                      <a:ext cx="3404396" cy="2366785"/>
                    </a:xfrm>
                    <a:prstGeom prst="rect">
                      <a:avLst/>
                    </a:prstGeom>
                    <a:ln>
                      <a:noFill/>
                    </a:ln>
                    <a:extLst>
                      <a:ext uri="{53640926-AAD7-44D8-BBD7-CCE9431645EC}">
                        <a14:shadowObscured xmlns:a14="http://schemas.microsoft.com/office/drawing/2010/main"/>
                      </a:ext>
                    </a:extLst>
                  </pic:spPr>
                </pic:pic>
              </a:graphicData>
            </a:graphic>
          </wp:inline>
        </w:drawing>
      </w:r>
    </w:p>
    <w:p w14:paraId="7768D4C3" w14:textId="56801757" w:rsidR="00532E81" w:rsidRPr="00B148B1" w:rsidRDefault="0030532E" w:rsidP="001A0407">
      <w:pPr>
        <w:tabs>
          <w:tab w:val="left" w:pos="8130"/>
        </w:tabs>
        <w:spacing w:line="360" w:lineRule="auto"/>
        <w:jc w:val="both"/>
        <w:rPr>
          <w:rFonts w:ascii="Arial" w:hAnsi="Arial" w:cs="Arial"/>
          <w:sz w:val="24"/>
          <w:szCs w:val="24"/>
          <w:lang w:val="es-MX"/>
        </w:rPr>
      </w:pPr>
      <w:r w:rsidRPr="00B148B1">
        <w:rPr>
          <w:rFonts w:ascii="Arial" w:hAnsi="Arial" w:cs="Arial"/>
          <w:sz w:val="24"/>
          <w:szCs w:val="24"/>
          <w:lang w:val="es-MX"/>
        </w:rPr>
        <w:t>Fig</w:t>
      </w:r>
      <w:r w:rsidR="00F54276" w:rsidRPr="00B148B1">
        <w:rPr>
          <w:rFonts w:ascii="Arial" w:hAnsi="Arial" w:cs="Arial"/>
          <w:sz w:val="24"/>
          <w:szCs w:val="24"/>
          <w:lang w:val="es-MX"/>
        </w:rPr>
        <w:t>ura 6</w:t>
      </w:r>
      <w:r w:rsidRPr="00B148B1">
        <w:rPr>
          <w:rFonts w:ascii="Arial" w:hAnsi="Arial" w:cs="Arial"/>
          <w:sz w:val="24"/>
          <w:szCs w:val="24"/>
          <w:lang w:val="es-MX"/>
        </w:rPr>
        <w:t>: Imágenes SEM de fibras de titanato de estroncio después del tratamiento térmico a 1000 ° C: a) 5,000X, b) 10,000X, c) 20,000X y d) Histograma.</w:t>
      </w:r>
    </w:p>
    <w:p w14:paraId="7CC3F935" w14:textId="7B4059B1" w:rsidR="00B148B1" w:rsidRPr="00B148B1" w:rsidRDefault="00B148B1" w:rsidP="001A0407">
      <w:pPr>
        <w:tabs>
          <w:tab w:val="left" w:pos="2670"/>
        </w:tabs>
        <w:spacing w:line="360" w:lineRule="auto"/>
        <w:jc w:val="both"/>
        <w:rPr>
          <w:rFonts w:ascii="Arial" w:hAnsi="Arial" w:cs="Arial"/>
          <w:noProof/>
          <w:sz w:val="24"/>
          <w:szCs w:val="24"/>
          <w:lang w:val="es-MX"/>
        </w:rPr>
      </w:pPr>
      <w:bookmarkStart w:id="3" w:name="_Hlk19389961"/>
      <w:r w:rsidRPr="00B148B1">
        <w:rPr>
          <w:rFonts w:ascii="Arial" w:hAnsi="Arial" w:cs="Arial"/>
          <w:noProof/>
          <w:sz w:val="24"/>
          <w:szCs w:val="24"/>
          <w:lang w:val="es-MX"/>
        </w:rPr>
        <w:lastRenderedPageBreak/>
        <w:t>Las fibras de titanato de estroncio mantienen su morfología característica a 1000°C y al ser tratadas con temperaturas más altas su morfología se ven afectadas</w:t>
      </w:r>
      <w:r w:rsidRPr="00B148B1">
        <w:rPr>
          <w:rFonts w:ascii="Arial" w:hAnsi="Arial" w:cs="Arial"/>
          <w:sz w:val="24"/>
          <w:szCs w:val="24"/>
          <w:lang w:val="es-MX"/>
        </w:rPr>
        <w:t xml:space="preserve"> por lo tanto, se seleccionó 1000 °C como la temperatura óptima para la fabricación de fibras densas de titanato de estroncio</w:t>
      </w:r>
      <w:r w:rsidRPr="00B148B1">
        <w:rPr>
          <w:rFonts w:ascii="Arial" w:hAnsi="Arial" w:cs="Arial"/>
          <w:noProof/>
          <w:sz w:val="24"/>
          <w:szCs w:val="24"/>
          <w:lang w:val="es-MX"/>
        </w:rPr>
        <w:t>.</w:t>
      </w:r>
    </w:p>
    <w:bookmarkEnd w:id="3"/>
    <w:p w14:paraId="33316CBA" w14:textId="1E715483" w:rsidR="003D30A9" w:rsidRPr="00B148B1" w:rsidRDefault="00500623" w:rsidP="001A0407">
      <w:pPr>
        <w:tabs>
          <w:tab w:val="left" w:pos="2670"/>
        </w:tabs>
        <w:spacing w:line="360" w:lineRule="auto"/>
        <w:jc w:val="both"/>
        <w:rPr>
          <w:rFonts w:ascii="Arial" w:hAnsi="Arial" w:cs="Arial"/>
          <w:b/>
          <w:sz w:val="24"/>
          <w:szCs w:val="24"/>
          <w:lang w:val="es-MX"/>
        </w:rPr>
      </w:pPr>
      <w:r w:rsidRPr="00B148B1">
        <w:rPr>
          <w:rFonts w:ascii="Arial" w:hAnsi="Arial" w:cs="Arial"/>
          <w:b/>
          <w:sz w:val="24"/>
          <w:szCs w:val="24"/>
          <w:lang w:val="es-MX"/>
        </w:rPr>
        <w:t>Conclusión</w:t>
      </w:r>
    </w:p>
    <w:p w14:paraId="03B9DC33" w14:textId="76AC4EDA" w:rsidR="00BC4982" w:rsidRPr="00B148B1" w:rsidRDefault="00A54A12" w:rsidP="001A0407">
      <w:pPr>
        <w:tabs>
          <w:tab w:val="left" w:pos="2670"/>
        </w:tabs>
        <w:spacing w:line="360" w:lineRule="auto"/>
        <w:jc w:val="both"/>
        <w:rPr>
          <w:rFonts w:ascii="Arial" w:hAnsi="Arial" w:cs="Arial"/>
          <w:bCs/>
          <w:sz w:val="24"/>
          <w:szCs w:val="24"/>
          <w:lang w:val="es-MX"/>
        </w:rPr>
      </w:pPr>
      <w:r w:rsidRPr="00B148B1">
        <w:rPr>
          <w:rFonts w:ascii="Arial" w:hAnsi="Arial" w:cs="Arial"/>
          <w:bCs/>
          <w:sz w:val="24"/>
          <w:szCs w:val="24"/>
          <w:lang w:val="es-MX"/>
        </w:rPr>
        <w:t>Se obtuvieron fibras con un diámetro medio de 103</w:t>
      </w:r>
      <w:r w:rsidRPr="00B148B1">
        <w:rPr>
          <w:rFonts w:ascii="Arial" w:hAnsi="Arial" w:cs="Arial"/>
          <w:bCs/>
          <w:sz w:val="24"/>
          <w:szCs w:val="24"/>
          <w:lang w:val="es-ES"/>
        </w:rPr>
        <w:t>±</w:t>
      </w:r>
      <w:r w:rsidRPr="00B148B1">
        <w:rPr>
          <w:rFonts w:ascii="Arial" w:hAnsi="Arial" w:cs="Arial"/>
          <w:bCs/>
          <w:sz w:val="24"/>
          <w:szCs w:val="24"/>
          <w:lang w:val="es-MX"/>
        </w:rPr>
        <w:t>39 nm usando una solución precursora de 0.30</w:t>
      </w:r>
      <w:r w:rsidR="00F54276" w:rsidRPr="00B148B1">
        <w:rPr>
          <w:rFonts w:ascii="Arial" w:hAnsi="Arial" w:cs="Arial"/>
          <w:bCs/>
          <w:sz w:val="24"/>
          <w:szCs w:val="24"/>
          <w:lang w:val="es-MX"/>
        </w:rPr>
        <w:t xml:space="preserve"> </w:t>
      </w:r>
      <w:r w:rsidRPr="00B148B1">
        <w:rPr>
          <w:rFonts w:ascii="Arial" w:hAnsi="Arial" w:cs="Arial"/>
          <w:bCs/>
          <w:sz w:val="24"/>
          <w:szCs w:val="24"/>
          <w:lang w:val="es-MX"/>
        </w:rPr>
        <w:t xml:space="preserve">M. La concentración de precursores influyó en la morfología y la estabilidad de las muestras ya que se obtuvieron fibras homogéneas y lisas a partir de soluciones más convencionales. Las bandas características de titanato de estroncio de estructura de perovskita se identificaron en espectroscopía infrarroja y Raman. </w:t>
      </w:r>
    </w:p>
    <w:p w14:paraId="077B8420" w14:textId="37A36EED" w:rsidR="00A54A12" w:rsidRPr="00B148B1" w:rsidRDefault="00A54A12" w:rsidP="001A0407">
      <w:pPr>
        <w:tabs>
          <w:tab w:val="left" w:pos="2670"/>
        </w:tabs>
        <w:spacing w:line="360" w:lineRule="auto"/>
        <w:jc w:val="both"/>
        <w:rPr>
          <w:rFonts w:ascii="Arial" w:hAnsi="Arial" w:cs="Arial"/>
          <w:b/>
          <w:sz w:val="24"/>
          <w:szCs w:val="24"/>
          <w:lang w:val="es-MX"/>
        </w:rPr>
      </w:pPr>
      <w:r w:rsidRPr="00B148B1">
        <w:rPr>
          <w:rFonts w:ascii="Arial" w:hAnsi="Arial" w:cs="Arial"/>
          <w:b/>
          <w:sz w:val="24"/>
          <w:szCs w:val="24"/>
          <w:lang w:val="es-MX"/>
        </w:rPr>
        <w:t>Aportación</w:t>
      </w:r>
    </w:p>
    <w:p w14:paraId="13E34029" w14:textId="07BBAA82" w:rsidR="00A54A12" w:rsidRPr="00B148B1" w:rsidRDefault="00A54A12" w:rsidP="001A0407">
      <w:pPr>
        <w:tabs>
          <w:tab w:val="left" w:pos="2670"/>
        </w:tabs>
        <w:spacing w:line="360" w:lineRule="auto"/>
        <w:jc w:val="both"/>
        <w:rPr>
          <w:rFonts w:ascii="Arial" w:hAnsi="Arial" w:cs="Arial"/>
          <w:bCs/>
          <w:sz w:val="24"/>
          <w:szCs w:val="24"/>
          <w:lang w:val="es-MX"/>
        </w:rPr>
      </w:pPr>
      <w:r w:rsidRPr="00B148B1">
        <w:rPr>
          <w:rFonts w:ascii="Arial" w:hAnsi="Arial" w:cs="Arial"/>
          <w:bCs/>
          <w:sz w:val="24"/>
          <w:szCs w:val="24"/>
          <w:lang w:val="es-MX"/>
        </w:rPr>
        <w:t>Se obtuvo una metodología alternativa para la síntesis de fibras de titanato de estroncio que combina la técnica de sol-gel y electrohilado para producir un compuesto cerámico fibr</w:t>
      </w:r>
      <w:r w:rsidR="001F3F82" w:rsidRPr="00B148B1">
        <w:rPr>
          <w:rFonts w:ascii="Arial" w:hAnsi="Arial" w:cs="Arial"/>
          <w:bCs/>
          <w:sz w:val="24"/>
          <w:szCs w:val="24"/>
          <w:lang w:val="es-MX"/>
        </w:rPr>
        <w:t>il</w:t>
      </w:r>
      <w:r w:rsidRPr="00B148B1">
        <w:rPr>
          <w:rFonts w:ascii="Arial" w:hAnsi="Arial" w:cs="Arial"/>
          <w:bCs/>
          <w:sz w:val="24"/>
          <w:szCs w:val="24"/>
          <w:lang w:val="es-MX"/>
        </w:rPr>
        <w:t>ar.</w:t>
      </w:r>
    </w:p>
    <w:p w14:paraId="61195460" w14:textId="77777777" w:rsidR="000D257D" w:rsidRPr="00B148B1" w:rsidRDefault="000D257D" w:rsidP="001A0407">
      <w:pPr>
        <w:tabs>
          <w:tab w:val="left" w:pos="8130"/>
        </w:tabs>
        <w:spacing w:line="360" w:lineRule="auto"/>
        <w:jc w:val="both"/>
        <w:rPr>
          <w:rFonts w:ascii="Arial" w:hAnsi="Arial" w:cs="Arial"/>
          <w:b/>
          <w:sz w:val="24"/>
          <w:szCs w:val="24"/>
          <w:lang w:val="es-MX"/>
        </w:rPr>
      </w:pPr>
      <w:r w:rsidRPr="00B148B1">
        <w:rPr>
          <w:rFonts w:ascii="Arial" w:hAnsi="Arial" w:cs="Arial"/>
          <w:b/>
          <w:sz w:val="24"/>
          <w:szCs w:val="24"/>
          <w:lang w:val="es-MX"/>
        </w:rPr>
        <w:t xml:space="preserve">Bibliografía </w:t>
      </w:r>
    </w:p>
    <w:p w14:paraId="23C6CB35" w14:textId="77777777" w:rsidR="0037658D" w:rsidRPr="00B148B1" w:rsidRDefault="0008723D" w:rsidP="001A0407">
      <w:pPr>
        <w:widowControl w:val="0"/>
        <w:autoSpaceDE w:val="0"/>
        <w:autoSpaceDN w:val="0"/>
        <w:adjustRightInd w:val="0"/>
        <w:spacing w:line="360" w:lineRule="auto"/>
        <w:ind w:left="480" w:hanging="480"/>
        <w:jc w:val="both"/>
        <w:rPr>
          <w:rFonts w:ascii="Arial" w:hAnsi="Arial" w:cs="Arial"/>
          <w:noProof/>
          <w:sz w:val="24"/>
          <w:szCs w:val="24"/>
          <w:lang w:val="es-MX"/>
        </w:rPr>
      </w:pPr>
      <w:r w:rsidRPr="00B148B1">
        <w:rPr>
          <w:rFonts w:ascii="Arial" w:hAnsi="Arial" w:cs="Arial"/>
          <w:sz w:val="24"/>
          <w:szCs w:val="24"/>
          <w:lang w:val="es-MX"/>
        </w:rPr>
        <w:fldChar w:fldCharType="begin" w:fldLock="1"/>
      </w:r>
      <w:r w:rsidRPr="00B148B1">
        <w:rPr>
          <w:rFonts w:ascii="Arial" w:hAnsi="Arial" w:cs="Arial"/>
          <w:sz w:val="24"/>
          <w:szCs w:val="24"/>
          <w:lang w:val="es-MX"/>
        </w:rPr>
        <w:instrText xml:space="preserve">ADDIN Mendeley Bibliography CSL_BIBLIOGRAPHY </w:instrText>
      </w:r>
      <w:r w:rsidRPr="00B148B1">
        <w:rPr>
          <w:rFonts w:ascii="Arial" w:hAnsi="Arial" w:cs="Arial"/>
          <w:sz w:val="24"/>
          <w:szCs w:val="24"/>
          <w:lang w:val="es-MX"/>
        </w:rPr>
        <w:fldChar w:fldCharType="separate"/>
      </w:r>
      <w:r w:rsidR="0037658D" w:rsidRPr="00B148B1">
        <w:rPr>
          <w:rFonts w:ascii="Arial" w:hAnsi="Arial" w:cs="Arial"/>
          <w:noProof/>
          <w:sz w:val="24"/>
          <w:szCs w:val="24"/>
          <w:lang w:val="es-MX"/>
        </w:rPr>
        <w:t xml:space="preserve">Askeland. (2005). Materiales Cerámicos. </w:t>
      </w:r>
      <w:r w:rsidR="0037658D" w:rsidRPr="00B148B1">
        <w:rPr>
          <w:rFonts w:ascii="Arial" w:hAnsi="Arial" w:cs="Arial"/>
          <w:i/>
          <w:iCs/>
          <w:noProof/>
          <w:sz w:val="24"/>
          <w:szCs w:val="24"/>
          <w:lang w:val="es-MX"/>
        </w:rPr>
        <w:t>Ciencia E Ingenieria de Los Materiales</w:t>
      </w:r>
      <w:r w:rsidR="0037658D" w:rsidRPr="00B148B1">
        <w:rPr>
          <w:rFonts w:ascii="Arial" w:hAnsi="Arial" w:cs="Arial"/>
          <w:noProof/>
          <w:sz w:val="24"/>
          <w:szCs w:val="24"/>
          <w:lang w:val="es-MX"/>
        </w:rPr>
        <w:t xml:space="preserve">. </w:t>
      </w:r>
    </w:p>
    <w:p w14:paraId="1C6E6C0D" w14:textId="77777777" w:rsidR="0037658D" w:rsidRPr="00B148B1" w:rsidRDefault="0037658D" w:rsidP="001A0407">
      <w:pPr>
        <w:widowControl w:val="0"/>
        <w:autoSpaceDE w:val="0"/>
        <w:autoSpaceDN w:val="0"/>
        <w:adjustRightInd w:val="0"/>
        <w:spacing w:line="360" w:lineRule="auto"/>
        <w:ind w:left="480" w:hanging="480"/>
        <w:jc w:val="both"/>
        <w:rPr>
          <w:rFonts w:ascii="Arial" w:hAnsi="Arial" w:cs="Arial"/>
          <w:noProof/>
          <w:sz w:val="24"/>
          <w:szCs w:val="24"/>
          <w:lang w:val="es-MX"/>
        </w:rPr>
      </w:pPr>
      <w:r w:rsidRPr="00B148B1">
        <w:rPr>
          <w:rFonts w:ascii="Arial" w:hAnsi="Arial" w:cs="Arial"/>
          <w:noProof/>
          <w:sz w:val="24"/>
          <w:szCs w:val="24"/>
          <w:lang w:val="es-MX"/>
        </w:rPr>
        <w:t xml:space="preserve">Beltran, R. (2015). </w:t>
      </w:r>
      <w:r w:rsidRPr="00B148B1">
        <w:rPr>
          <w:rFonts w:ascii="Arial" w:hAnsi="Arial" w:cs="Arial"/>
          <w:i/>
          <w:iCs/>
          <w:noProof/>
          <w:sz w:val="24"/>
          <w:szCs w:val="24"/>
          <w:lang w:val="es-MX"/>
        </w:rPr>
        <w:t>Síntesis y estudio del acoplamiento cristalográfico y estabilidad química en compósitos Sr2HoNbO6 /YBa2Cu3O7−</w:t>
      </w:r>
      <w:r w:rsidRPr="00B148B1">
        <w:rPr>
          <w:rFonts w:ascii="Arial" w:hAnsi="Arial" w:cs="Arial"/>
          <w:i/>
          <w:iCs/>
          <w:noProof/>
          <w:sz w:val="24"/>
          <w:szCs w:val="24"/>
        </w:rPr>
        <w:t>δ</w:t>
      </w:r>
      <w:r w:rsidRPr="00B148B1">
        <w:rPr>
          <w:rFonts w:ascii="Arial" w:hAnsi="Arial" w:cs="Arial"/>
          <w:noProof/>
          <w:sz w:val="24"/>
          <w:szCs w:val="24"/>
          <w:lang w:val="es-MX"/>
        </w:rPr>
        <w:t>. Universidad Nacional de Colombia.</w:t>
      </w:r>
    </w:p>
    <w:p w14:paraId="082ED391" w14:textId="77777777" w:rsidR="0037658D" w:rsidRPr="00B148B1" w:rsidRDefault="0037658D" w:rsidP="001A0407">
      <w:pPr>
        <w:widowControl w:val="0"/>
        <w:autoSpaceDE w:val="0"/>
        <w:autoSpaceDN w:val="0"/>
        <w:adjustRightInd w:val="0"/>
        <w:spacing w:line="360" w:lineRule="auto"/>
        <w:ind w:left="480" w:hanging="480"/>
        <w:jc w:val="both"/>
        <w:rPr>
          <w:rFonts w:ascii="Arial" w:hAnsi="Arial" w:cs="Arial"/>
          <w:noProof/>
          <w:sz w:val="24"/>
          <w:szCs w:val="24"/>
          <w:lang w:val="es-MX"/>
        </w:rPr>
      </w:pPr>
      <w:r w:rsidRPr="00B148B1">
        <w:rPr>
          <w:rFonts w:ascii="Arial" w:hAnsi="Arial" w:cs="Arial"/>
          <w:noProof/>
          <w:sz w:val="24"/>
          <w:szCs w:val="24"/>
        </w:rPr>
        <w:t xml:space="preserve">Deitzel, J. M., Kosik, W., McKnight, S. H., Beck Tan, N. C., DeSimone, J. M., &amp; Crette, S. (2002). Electrospinning of polymer nanofibers with specific surface chemistry. </w:t>
      </w:r>
      <w:r w:rsidRPr="00B148B1">
        <w:rPr>
          <w:rFonts w:ascii="Arial" w:hAnsi="Arial" w:cs="Arial"/>
          <w:i/>
          <w:iCs/>
          <w:noProof/>
          <w:sz w:val="24"/>
          <w:szCs w:val="24"/>
          <w:lang w:val="es-MX"/>
        </w:rPr>
        <w:t>Polymer</w:t>
      </w:r>
      <w:r w:rsidRPr="00B148B1">
        <w:rPr>
          <w:rFonts w:ascii="Arial" w:hAnsi="Arial" w:cs="Arial"/>
          <w:noProof/>
          <w:sz w:val="24"/>
          <w:szCs w:val="24"/>
          <w:lang w:val="es-MX"/>
        </w:rPr>
        <w:t xml:space="preserve">, </w:t>
      </w:r>
      <w:r w:rsidRPr="00B148B1">
        <w:rPr>
          <w:rFonts w:ascii="Arial" w:hAnsi="Arial" w:cs="Arial"/>
          <w:i/>
          <w:iCs/>
          <w:noProof/>
          <w:sz w:val="24"/>
          <w:szCs w:val="24"/>
          <w:lang w:val="es-MX"/>
        </w:rPr>
        <w:t>43</w:t>
      </w:r>
      <w:r w:rsidRPr="00B148B1">
        <w:rPr>
          <w:rFonts w:ascii="Arial" w:hAnsi="Arial" w:cs="Arial"/>
          <w:noProof/>
          <w:sz w:val="24"/>
          <w:szCs w:val="24"/>
          <w:lang w:val="es-MX"/>
        </w:rPr>
        <w:t xml:space="preserve">(3), 1025–1029. </w:t>
      </w:r>
    </w:p>
    <w:p w14:paraId="07770CC3" w14:textId="77777777" w:rsidR="0037658D" w:rsidRPr="00B148B1" w:rsidRDefault="0037658D" w:rsidP="001A0407">
      <w:pPr>
        <w:widowControl w:val="0"/>
        <w:autoSpaceDE w:val="0"/>
        <w:autoSpaceDN w:val="0"/>
        <w:adjustRightInd w:val="0"/>
        <w:spacing w:line="360" w:lineRule="auto"/>
        <w:ind w:left="480" w:hanging="480"/>
        <w:jc w:val="both"/>
        <w:rPr>
          <w:rFonts w:ascii="Arial" w:hAnsi="Arial" w:cs="Arial"/>
          <w:noProof/>
          <w:sz w:val="24"/>
          <w:szCs w:val="24"/>
          <w:lang w:val="es-MX"/>
        </w:rPr>
      </w:pPr>
      <w:r w:rsidRPr="00B148B1">
        <w:rPr>
          <w:rFonts w:ascii="Arial" w:hAnsi="Arial" w:cs="Arial"/>
          <w:noProof/>
          <w:sz w:val="24"/>
          <w:szCs w:val="24"/>
          <w:lang w:val="es-MX"/>
        </w:rPr>
        <w:t xml:space="preserve">Heredia, A., Bdikin, I., &amp; Colín-García, M. (2011). Piezoelectricidad y ferroelectricidad en biomateriales. </w:t>
      </w:r>
      <w:r w:rsidRPr="00B148B1">
        <w:rPr>
          <w:rFonts w:ascii="Arial" w:hAnsi="Arial" w:cs="Arial"/>
          <w:i/>
          <w:iCs/>
          <w:noProof/>
          <w:sz w:val="24"/>
          <w:szCs w:val="24"/>
          <w:lang w:val="es-MX"/>
        </w:rPr>
        <w:t>La Granja, Revista de Ciencias de La Vida</w:t>
      </w:r>
      <w:r w:rsidRPr="00B148B1">
        <w:rPr>
          <w:rFonts w:ascii="Arial" w:hAnsi="Arial" w:cs="Arial"/>
          <w:noProof/>
          <w:sz w:val="24"/>
          <w:szCs w:val="24"/>
          <w:lang w:val="es-MX"/>
        </w:rPr>
        <w:t xml:space="preserve">, </w:t>
      </w:r>
      <w:r w:rsidRPr="00B148B1">
        <w:rPr>
          <w:rFonts w:ascii="Arial" w:hAnsi="Arial" w:cs="Arial"/>
          <w:i/>
          <w:iCs/>
          <w:noProof/>
          <w:sz w:val="24"/>
          <w:szCs w:val="24"/>
          <w:lang w:val="es-MX"/>
        </w:rPr>
        <w:t>14</w:t>
      </w:r>
      <w:r w:rsidRPr="00B148B1">
        <w:rPr>
          <w:rFonts w:ascii="Arial" w:hAnsi="Arial" w:cs="Arial"/>
          <w:noProof/>
          <w:sz w:val="24"/>
          <w:szCs w:val="24"/>
          <w:lang w:val="es-MX"/>
        </w:rPr>
        <w:t>(2), 3–12.</w:t>
      </w:r>
    </w:p>
    <w:p w14:paraId="693C9FBD" w14:textId="632920E4" w:rsidR="0037658D" w:rsidRPr="00B148B1" w:rsidRDefault="0037658D" w:rsidP="001A0407">
      <w:pPr>
        <w:widowControl w:val="0"/>
        <w:autoSpaceDE w:val="0"/>
        <w:autoSpaceDN w:val="0"/>
        <w:adjustRightInd w:val="0"/>
        <w:spacing w:line="360" w:lineRule="auto"/>
        <w:ind w:left="480" w:hanging="480"/>
        <w:jc w:val="both"/>
        <w:rPr>
          <w:rFonts w:ascii="Arial" w:hAnsi="Arial" w:cs="Arial"/>
          <w:noProof/>
          <w:sz w:val="24"/>
          <w:szCs w:val="24"/>
          <w:lang w:val="es-ES"/>
        </w:rPr>
      </w:pPr>
      <w:r w:rsidRPr="00B148B1">
        <w:rPr>
          <w:rFonts w:ascii="Arial" w:hAnsi="Arial" w:cs="Arial"/>
          <w:noProof/>
          <w:sz w:val="24"/>
          <w:szCs w:val="24"/>
          <w:lang w:val="es-ES"/>
        </w:rPr>
        <w:t xml:space="preserve">Klaytae, T., Panthong, P., &amp; Thountom, S. (2013). </w:t>
      </w:r>
      <w:r w:rsidRPr="00B148B1">
        <w:rPr>
          <w:rFonts w:ascii="Arial" w:hAnsi="Arial" w:cs="Arial"/>
          <w:noProof/>
          <w:sz w:val="24"/>
          <w:szCs w:val="24"/>
        </w:rPr>
        <w:t xml:space="preserve">Preparation of nanocrystalline strontium titanate ( SrTiO 3 ) powder by sol-gel combustion method. </w:t>
      </w:r>
      <w:r w:rsidRPr="00B148B1">
        <w:rPr>
          <w:rFonts w:ascii="Arial" w:hAnsi="Arial" w:cs="Arial"/>
          <w:i/>
          <w:iCs/>
          <w:noProof/>
          <w:sz w:val="24"/>
          <w:szCs w:val="24"/>
          <w:lang w:val="es-ES"/>
        </w:rPr>
        <w:t>Scientific Research and Essays</w:t>
      </w:r>
      <w:r w:rsidRPr="00B148B1">
        <w:rPr>
          <w:rFonts w:ascii="Arial" w:hAnsi="Arial" w:cs="Arial"/>
          <w:noProof/>
          <w:sz w:val="24"/>
          <w:szCs w:val="24"/>
          <w:lang w:val="es-ES"/>
        </w:rPr>
        <w:t xml:space="preserve">, </w:t>
      </w:r>
      <w:r w:rsidRPr="00B148B1">
        <w:rPr>
          <w:rFonts w:ascii="Arial" w:hAnsi="Arial" w:cs="Arial"/>
          <w:i/>
          <w:iCs/>
          <w:noProof/>
          <w:sz w:val="24"/>
          <w:szCs w:val="24"/>
          <w:lang w:val="es-ES"/>
        </w:rPr>
        <w:t>8</w:t>
      </w:r>
      <w:r w:rsidRPr="00B148B1">
        <w:rPr>
          <w:rFonts w:ascii="Arial" w:hAnsi="Arial" w:cs="Arial"/>
          <w:noProof/>
          <w:sz w:val="24"/>
          <w:szCs w:val="24"/>
          <w:lang w:val="es-ES"/>
        </w:rPr>
        <w:t xml:space="preserve">(1), 32–38. </w:t>
      </w:r>
    </w:p>
    <w:p w14:paraId="55C906BA" w14:textId="77777777" w:rsidR="0037658D" w:rsidRPr="00B148B1" w:rsidRDefault="0037658D" w:rsidP="001A0407">
      <w:pPr>
        <w:widowControl w:val="0"/>
        <w:autoSpaceDE w:val="0"/>
        <w:autoSpaceDN w:val="0"/>
        <w:adjustRightInd w:val="0"/>
        <w:spacing w:line="360" w:lineRule="auto"/>
        <w:ind w:left="480" w:hanging="480"/>
        <w:jc w:val="both"/>
        <w:rPr>
          <w:rFonts w:ascii="Arial" w:hAnsi="Arial" w:cs="Arial"/>
          <w:noProof/>
          <w:sz w:val="24"/>
          <w:szCs w:val="24"/>
        </w:rPr>
      </w:pPr>
      <w:r w:rsidRPr="00B148B1">
        <w:rPr>
          <w:rFonts w:ascii="Arial" w:hAnsi="Arial" w:cs="Arial"/>
          <w:noProof/>
          <w:sz w:val="24"/>
          <w:szCs w:val="24"/>
        </w:rPr>
        <w:lastRenderedPageBreak/>
        <w:t xml:space="preserve">Macaraig, L., Chuangchote, S., &amp; Sagawa, T. (2013). Electrospun SrTiO3 nanofibers for photocatalytic hydrogen generation. </w:t>
      </w:r>
      <w:r w:rsidRPr="00B148B1">
        <w:rPr>
          <w:rFonts w:ascii="Arial" w:hAnsi="Arial" w:cs="Arial"/>
          <w:i/>
          <w:iCs/>
          <w:noProof/>
          <w:sz w:val="24"/>
          <w:szCs w:val="24"/>
        </w:rPr>
        <w:t>Journal of Materials Research</w:t>
      </w:r>
      <w:r w:rsidRPr="00B148B1">
        <w:rPr>
          <w:rFonts w:ascii="Arial" w:hAnsi="Arial" w:cs="Arial"/>
          <w:noProof/>
          <w:sz w:val="24"/>
          <w:szCs w:val="24"/>
        </w:rPr>
        <w:t xml:space="preserve">, </w:t>
      </w:r>
      <w:r w:rsidRPr="00B148B1">
        <w:rPr>
          <w:rFonts w:ascii="Arial" w:hAnsi="Arial" w:cs="Arial"/>
          <w:i/>
          <w:iCs/>
          <w:noProof/>
          <w:sz w:val="24"/>
          <w:szCs w:val="24"/>
        </w:rPr>
        <w:t>29</w:t>
      </w:r>
      <w:r w:rsidRPr="00B148B1">
        <w:rPr>
          <w:rFonts w:ascii="Arial" w:hAnsi="Arial" w:cs="Arial"/>
          <w:noProof/>
          <w:sz w:val="24"/>
          <w:szCs w:val="24"/>
        </w:rPr>
        <w:t xml:space="preserve">(1), 123–130. </w:t>
      </w:r>
    </w:p>
    <w:p w14:paraId="1C13EB15" w14:textId="77777777" w:rsidR="0037658D" w:rsidRPr="00B148B1" w:rsidRDefault="0037658D" w:rsidP="001A0407">
      <w:pPr>
        <w:widowControl w:val="0"/>
        <w:autoSpaceDE w:val="0"/>
        <w:autoSpaceDN w:val="0"/>
        <w:adjustRightInd w:val="0"/>
        <w:spacing w:line="360" w:lineRule="auto"/>
        <w:ind w:left="480" w:hanging="480"/>
        <w:jc w:val="both"/>
        <w:rPr>
          <w:rFonts w:ascii="Arial" w:hAnsi="Arial" w:cs="Arial"/>
          <w:noProof/>
          <w:sz w:val="24"/>
          <w:szCs w:val="24"/>
          <w:lang w:val="es-ES"/>
        </w:rPr>
      </w:pPr>
      <w:r w:rsidRPr="00B148B1">
        <w:rPr>
          <w:rFonts w:ascii="Arial" w:hAnsi="Arial" w:cs="Arial"/>
          <w:noProof/>
          <w:sz w:val="24"/>
          <w:szCs w:val="24"/>
        </w:rPr>
        <w:t xml:space="preserve">Monró, G., Garcia, A., Badenes, J., &amp; Tena, A. (2003). </w:t>
      </w:r>
      <w:r w:rsidRPr="00B148B1">
        <w:rPr>
          <w:rFonts w:ascii="Arial" w:hAnsi="Arial" w:cs="Arial"/>
          <w:i/>
          <w:iCs/>
          <w:noProof/>
          <w:sz w:val="24"/>
          <w:szCs w:val="24"/>
          <w:lang w:val="es-MX"/>
        </w:rPr>
        <w:t>El color de la cerámica: nuevos mecanismos en pigmentos para los nuevos procesados de la industria cerámica</w:t>
      </w:r>
      <w:r w:rsidRPr="00B148B1">
        <w:rPr>
          <w:rFonts w:ascii="Arial" w:hAnsi="Arial" w:cs="Arial"/>
          <w:noProof/>
          <w:sz w:val="24"/>
          <w:szCs w:val="24"/>
          <w:lang w:val="es-MX"/>
        </w:rPr>
        <w:t xml:space="preserve">. </w:t>
      </w:r>
      <w:r w:rsidRPr="00B148B1">
        <w:rPr>
          <w:rFonts w:ascii="Arial" w:hAnsi="Arial" w:cs="Arial"/>
          <w:noProof/>
          <w:sz w:val="24"/>
          <w:szCs w:val="24"/>
          <w:lang w:val="es-ES"/>
        </w:rPr>
        <w:t>España: Universitat Jaume.</w:t>
      </w:r>
    </w:p>
    <w:p w14:paraId="631F07F5" w14:textId="77777777" w:rsidR="0037658D" w:rsidRPr="00B148B1" w:rsidRDefault="0037658D" w:rsidP="001A0407">
      <w:pPr>
        <w:widowControl w:val="0"/>
        <w:autoSpaceDE w:val="0"/>
        <w:autoSpaceDN w:val="0"/>
        <w:adjustRightInd w:val="0"/>
        <w:spacing w:line="360" w:lineRule="auto"/>
        <w:ind w:left="480" w:hanging="480"/>
        <w:jc w:val="both"/>
        <w:rPr>
          <w:rFonts w:ascii="Arial" w:hAnsi="Arial" w:cs="Arial"/>
          <w:noProof/>
          <w:sz w:val="24"/>
          <w:szCs w:val="24"/>
          <w:lang w:val="es-MX"/>
        </w:rPr>
      </w:pPr>
      <w:r w:rsidRPr="00B148B1">
        <w:rPr>
          <w:rFonts w:ascii="Arial" w:hAnsi="Arial" w:cs="Arial"/>
          <w:noProof/>
          <w:sz w:val="24"/>
          <w:szCs w:val="24"/>
          <w:lang w:val="es-MX"/>
        </w:rPr>
        <w:t xml:space="preserve">Reyes, J. (2003). </w:t>
      </w:r>
      <w:r w:rsidRPr="00B148B1">
        <w:rPr>
          <w:rFonts w:ascii="Arial" w:hAnsi="Arial" w:cs="Arial"/>
          <w:i/>
          <w:iCs/>
          <w:noProof/>
          <w:sz w:val="24"/>
          <w:szCs w:val="24"/>
          <w:lang w:val="es-MX"/>
        </w:rPr>
        <w:t>Aplicación de la técnica Sol-gel</w:t>
      </w:r>
      <w:r w:rsidRPr="00B148B1">
        <w:rPr>
          <w:rFonts w:ascii="Arial" w:hAnsi="Arial" w:cs="Arial"/>
          <w:noProof/>
          <w:sz w:val="24"/>
          <w:szCs w:val="24"/>
          <w:lang w:val="es-MX"/>
        </w:rPr>
        <w:t>. colima: Universidad de colima.</w:t>
      </w:r>
    </w:p>
    <w:p w14:paraId="38812296" w14:textId="77777777" w:rsidR="0037658D" w:rsidRPr="00B148B1" w:rsidRDefault="0037658D" w:rsidP="001A0407">
      <w:pPr>
        <w:widowControl w:val="0"/>
        <w:autoSpaceDE w:val="0"/>
        <w:autoSpaceDN w:val="0"/>
        <w:adjustRightInd w:val="0"/>
        <w:spacing w:line="360" w:lineRule="auto"/>
        <w:ind w:left="480" w:hanging="480"/>
        <w:jc w:val="both"/>
        <w:rPr>
          <w:rFonts w:ascii="Arial" w:hAnsi="Arial" w:cs="Arial"/>
          <w:noProof/>
          <w:sz w:val="24"/>
          <w:szCs w:val="24"/>
        </w:rPr>
      </w:pPr>
      <w:r w:rsidRPr="00B148B1">
        <w:rPr>
          <w:rFonts w:ascii="Arial" w:hAnsi="Arial" w:cs="Arial"/>
          <w:noProof/>
          <w:sz w:val="24"/>
          <w:szCs w:val="24"/>
          <w:lang w:val="es-MX"/>
        </w:rPr>
        <w:t xml:space="preserve">Smith, W., &amp; Hashemi, J. (2004). </w:t>
      </w:r>
      <w:r w:rsidRPr="00B148B1">
        <w:rPr>
          <w:rFonts w:ascii="Arial" w:hAnsi="Arial" w:cs="Arial"/>
          <w:i/>
          <w:iCs/>
          <w:noProof/>
          <w:sz w:val="24"/>
          <w:szCs w:val="24"/>
          <w:lang w:val="es-MX"/>
        </w:rPr>
        <w:t>Fundamentos de la ciencia e ingenieria de materiales</w:t>
      </w:r>
      <w:r w:rsidRPr="00B148B1">
        <w:rPr>
          <w:rFonts w:ascii="Arial" w:hAnsi="Arial" w:cs="Arial"/>
          <w:noProof/>
          <w:sz w:val="24"/>
          <w:szCs w:val="24"/>
          <w:lang w:val="es-MX"/>
        </w:rPr>
        <w:t xml:space="preserve"> (primera). </w:t>
      </w:r>
      <w:r w:rsidRPr="00B148B1">
        <w:rPr>
          <w:rFonts w:ascii="Arial" w:hAnsi="Arial" w:cs="Arial"/>
          <w:noProof/>
          <w:sz w:val="24"/>
          <w:szCs w:val="24"/>
        </w:rPr>
        <w:t>Mexico: McGrawHill.</w:t>
      </w:r>
    </w:p>
    <w:p w14:paraId="4D18B380" w14:textId="77777777" w:rsidR="0037658D" w:rsidRPr="00B148B1" w:rsidRDefault="0037658D" w:rsidP="001A0407">
      <w:pPr>
        <w:widowControl w:val="0"/>
        <w:autoSpaceDE w:val="0"/>
        <w:autoSpaceDN w:val="0"/>
        <w:adjustRightInd w:val="0"/>
        <w:spacing w:line="360" w:lineRule="auto"/>
        <w:ind w:left="480" w:hanging="480"/>
        <w:jc w:val="both"/>
        <w:rPr>
          <w:rFonts w:ascii="Arial" w:hAnsi="Arial" w:cs="Arial"/>
          <w:noProof/>
          <w:sz w:val="24"/>
          <w:szCs w:val="24"/>
        </w:rPr>
      </w:pPr>
      <w:r w:rsidRPr="00B148B1">
        <w:rPr>
          <w:rFonts w:ascii="Arial" w:hAnsi="Arial" w:cs="Arial"/>
          <w:noProof/>
          <w:sz w:val="24"/>
          <w:szCs w:val="24"/>
        </w:rPr>
        <w:t xml:space="preserve">Syha, M. (2014). </w:t>
      </w:r>
      <w:r w:rsidRPr="00B148B1">
        <w:rPr>
          <w:rFonts w:ascii="Arial" w:hAnsi="Arial" w:cs="Arial"/>
          <w:i/>
          <w:iCs/>
          <w:noProof/>
          <w:sz w:val="24"/>
          <w:szCs w:val="24"/>
        </w:rPr>
        <w:t>Microstructureevolution in strontium titanate</w:t>
      </w:r>
      <w:r w:rsidRPr="00B148B1">
        <w:rPr>
          <w:rFonts w:ascii="Arial" w:hAnsi="Arial" w:cs="Arial"/>
          <w:noProof/>
          <w:sz w:val="24"/>
          <w:szCs w:val="24"/>
        </w:rPr>
        <w:t>. Alemania: KIT scientific publishing .</w:t>
      </w:r>
    </w:p>
    <w:p w14:paraId="47AB1BA1" w14:textId="77777777" w:rsidR="0037658D" w:rsidRPr="00B148B1" w:rsidRDefault="0037658D" w:rsidP="001A0407">
      <w:pPr>
        <w:widowControl w:val="0"/>
        <w:autoSpaceDE w:val="0"/>
        <w:autoSpaceDN w:val="0"/>
        <w:adjustRightInd w:val="0"/>
        <w:spacing w:line="360" w:lineRule="auto"/>
        <w:ind w:left="480" w:hanging="480"/>
        <w:jc w:val="both"/>
        <w:rPr>
          <w:rFonts w:ascii="Arial" w:hAnsi="Arial" w:cs="Arial"/>
          <w:noProof/>
          <w:sz w:val="24"/>
          <w:szCs w:val="24"/>
        </w:rPr>
      </w:pPr>
      <w:r w:rsidRPr="00B148B1">
        <w:rPr>
          <w:rFonts w:ascii="Arial" w:hAnsi="Arial" w:cs="Arial"/>
          <w:noProof/>
          <w:sz w:val="24"/>
          <w:szCs w:val="24"/>
        </w:rPr>
        <w:t xml:space="preserve">Tkach, A., Vilarinho, P. M., &amp; Kholkin, A. (2004). Effect of Mg doping on the structural and dielectric properties of strontium titanate ceramics. </w:t>
      </w:r>
      <w:r w:rsidRPr="00B148B1">
        <w:rPr>
          <w:rFonts w:ascii="Arial" w:hAnsi="Arial" w:cs="Arial"/>
          <w:i/>
          <w:iCs/>
          <w:noProof/>
          <w:sz w:val="24"/>
          <w:szCs w:val="24"/>
        </w:rPr>
        <w:t>Applied Physics A: Materials Science and Processing</w:t>
      </w:r>
      <w:r w:rsidRPr="00B148B1">
        <w:rPr>
          <w:rFonts w:ascii="Arial" w:hAnsi="Arial" w:cs="Arial"/>
          <w:noProof/>
          <w:sz w:val="24"/>
          <w:szCs w:val="24"/>
        </w:rPr>
        <w:t xml:space="preserve">, </w:t>
      </w:r>
      <w:r w:rsidRPr="00B148B1">
        <w:rPr>
          <w:rFonts w:ascii="Arial" w:hAnsi="Arial" w:cs="Arial"/>
          <w:i/>
          <w:iCs/>
          <w:noProof/>
          <w:sz w:val="24"/>
          <w:szCs w:val="24"/>
        </w:rPr>
        <w:t>79</w:t>
      </w:r>
      <w:r w:rsidRPr="00B148B1">
        <w:rPr>
          <w:rFonts w:ascii="Arial" w:hAnsi="Arial" w:cs="Arial"/>
          <w:noProof/>
          <w:sz w:val="24"/>
          <w:szCs w:val="24"/>
        </w:rPr>
        <w:t xml:space="preserve">(8), 2013–2020. </w:t>
      </w:r>
    </w:p>
    <w:p w14:paraId="4CA841D7" w14:textId="2CE22CA8" w:rsidR="001A013C" w:rsidRPr="00B148B1" w:rsidRDefault="001A013C" w:rsidP="001A0407">
      <w:pPr>
        <w:widowControl w:val="0"/>
        <w:autoSpaceDE w:val="0"/>
        <w:autoSpaceDN w:val="0"/>
        <w:adjustRightInd w:val="0"/>
        <w:spacing w:line="360" w:lineRule="auto"/>
        <w:ind w:left="480" w:hanging="480"/>
        <w:jc w:val="both"/>
        <w:rPr>
          <w:rFonts w:ascii="Arial" w:hAnsi="Arial" w:cs="Arial"/>
          <w:noProof/>
          <w:sz w:val="24"/>
          <w:szCs w:val="24"/>
        </w:rPr>
      </w:pPr>
      <w:bookmarkStart w:id="4" w:name="_Hlk19390754"/>
      <w:r w:rsidRPr="00B148B1">
        <w:rPr>
          <w:rFonts w:ascii="Arial" w:hAnsi="Arial" w:cs="Arial"/>
          <w:noProof/>
          <w:sz w:val="24"/>
          <w:szCs w:val="24"/>
        </w:rPr>
        <w:t>Wang, X., Zhang, L., Liu, H., Zhai, J., Yao, X. (2008). Dielectric nonlinear properties of BaTiO3-CaTiO3-SrTiO3 ceramicsnear the solubility limit. Mater. Chem. Phys., 112, 675–678.</w:t>
      </w:r>
    </w:p>
    <w:bookmarkEnd w:id="4"/>
    <w:p w14:paraId="3618E18E" w14:textId="3A4F83EC" w:rsidR="0037658D" w:rsidRPr="00B148B1" w:rsidRDefault="0037658D" w:rsidP="001A0407">
      <w:pPr>
        <w:widowControl w:val="0"/>
        <w:autoSpaceDE w:val="0"/>
        <w:autoSpaceDN w:val="0"/>
        <w:adjustRightInd w:val="0"/>
        <w:spacing w:line="360" w:lineRule="auto"/>
        <w:ind w:left="480" w:hanging="480"/>
        <w:jc w:val="both"/>
        <w:rPr>
          <w:rFonts w:ascii="Arial" w:hAnsi="Arial" w:cs="Arial"/>
          <w:noProof/>
          <w:sz w:val="24"/>
          <w:szCs w:val="24"/>
        </w:rPr>
      </w:pPr>
      <w:r w:rsidRPr="00B148B1">
        <w:rPr>
          <w:rFonts w:ascii="Arial" w:hAnsi="Arial" w:cs="Arial"/>
          <w:noProof/>
          <w:sz w:val="24"/>
          <w:szCs w:val="24"/>
        </w:rPr>
        <w:t xml:space="preserve">Wu, H., Pan, W., Lin, D., &amp; Li, H. (2012). Electrospinning of ceramic nanofibers: Fabrication, assembly and applications. </w:t>
      </w:r>
      <w:r w:rsidRPr="00B148B1">
        <w:rPr>
          <w:rFonts w:ascii="Arial" w:hAnsi="Arial" w:cs="Arial"/>
          <w:i/>
          <w:iCs/>
          <w:noProof/>
          <w:sz w:val="24"/>
          <w:szCs w:val="24"/>
        </w:rPr>
        <w:t>Journal of Advanced Ceramics</w:t>
      </w:r>
      <w:r w:rsidRPr="00B148B1">
        <w:rPr>
          <w:rFonts w:ascii="Arial" w:hAnsi="Arial" w:cs="Arial"/>
          <w:noProof/>
          <w:sz w:val="24"/>
          <w:szCs w:val="24"/>
        </w:rPr>
        <w:t xml:space="preserve">, </w:t>
      </w:r>
      <w:r w:rsidRPr="00B148B1">
        <w:rPr>
          <w:rFonts w:ascii="Arial" w:hAnsi="Arial" w:cs="Arial"/>
          <w:i/>
          <w:iCs/>
          <w:noProof/>
          <w:sz w:val="24"/>
          <w:szCs w:val="24"/>
        </w:rPr>
        <w:t>1</w:t>
      </w:r>
      <w:r w:rsidRPr="00B148B1">
        <w:rPr>
          <w:rFonts w:ascii="Arial" w:hAnsi="Arial" w:cs="Arial"/>
          <w:noProof/>
          <w:sz w:val="24"/>
          <w:szCs w:val="24"/>
        </w:rPr>
        <w:t xml:space="preserve">(1), 2–23. </w:t>
      </w:r>
    </w:p>
    <w:p w14:paraId="7391CE3D" w14:textId="5AF087E6" w:rsidR="00500623" w:rsidRPr="0037658D" w:rsidRDefault="0008723D" w:rsidP="001A0407">
      <w:pPr>
        <w:widowControl w:val="0"/>
        <w:autoSpaceDE w:val="0"/>
        <w:autoSpaceDN w:val="0"/>
        <w:adjustRightInd w:val="0"/>
        <w:spacing w:line="360" w:lineRule="auto"/>
        <w:ind w:left="480" w:hanging="480"/>
        <w:jc w:val="both"/>
        <w:rPr>
          <w:rFonts w:ascii="Arial" w:hAnsi="Arial" w:cs="Arial"/>
          <w:sz w:val="28"/>
          <w:szCs w:val="24"/>
          <w:lang w:val="es-MX"/>
        </w:rPr>
      </w:pPr>
      <w:r w:rsidRPr="00B148B1">
        <w:rPr>
          <w:rFonts w:ascii="Arial" w:hAnsi="Arial" w:cs="Arial"/>
          <w:sz w:val="24"/>
          <w:szCs w:val="24"/>
          <w:lang w:val="es-MX"/>
        </w:rPr>
        <w:fldChar w:fldCharType="end"/>
      </w:r>
    </w:p>
    <w:sectPr w:rsidR="00500623" w:rsidRPr="0037658D" w:rsidSect="002974F7">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232"/>
    <w:rsid w:val="0008723D"/>
    <w:rsid w:val="000902C4"/>
    <w:rsid w:val="00094325"/>
    <w:rsid w:val="000D257D"/>
    <w:rsid w:val="000E172B"/>
    <w:rsid w:val="000E5502"/>
    <w:rsid w:val="00116E6B"/>
    <w:rsid w:val="00123430"/>
    <w:rsid w:val="001415C8"/>
    <w:rsid w:val="001428EE"/>
    <w:rsid w:val="00154903"/>
    <w:rsid w:val="001702FE"/>
    <w:rsid w:val="0018509D"/>
    <w:rsid w:val="001A013C"/>
    <w:rsid w:val="001A0407"/>
    <w:rsid w:val="001F3F82"/>
    <w:rsid w:val="0020361C"/>
    <w:rsid w:val="0023302A"/>
    <w:rsid w:val="00250D26"/>
    <w:rsid w:val="00252821"/>
    <w:rsid w:val="00273148"/>
    <w:rsid w:val="002974F7"/>
    <w:rsid w:val="002C3AFE"/>
    <w:rsid w:val="002D2A21"/>
    <w:rsid w:val="0030532E"/>
    <w:rsid w:val="0031739E"/>
    <w:rsid w:val="003437F2"/>
    <w:rsid w:val="0037658D"/>
    <w:rsid w:val="003778F8"/>
    <w:rsid w:val="00385B9C"/>
    <w:rsid w:val="003D30A9"/>
    <w:rsid w:val="003D4439"/>
    <w:rsid w:val="003E325B"/>
    <w:rsid w:val="004343E9"/>
    <w:rsid w:val="0044207D"/>
    <w:rsid w:val="00457F9F"/>
    <w:rsid w:val="00475FF2"/>
    <w:rsid w:val="00493A67"/>
    <w:rsid w:val="00500623"/>
    <w:rsid w:val="005260A4"/>
    <w:rsid w:val="00532E81"/>
    <w:rsid w:val="005B3B43"/>
    <w:rsid w:val="005C6D92"/>
    <w:rsid w:val="005E71B7"/>
    <w:rsid w:val="005F2A16"/>
    <w:rsid w:val="00601144"/>
    <w:rsid w:val="006254FA"/>
    <w:rsid w:val="006463E7"/>
    <w:rsid w:val="00703260"/>
    <w:rsid w:val="00735B85"/>
    <w:rsid w:val="00742B05"/>
    <w:rsid w:val="0074635A"/>
    <w:rsid w:val="00747BDE"/>
    <w:rsid w:val="00777EE6"/>
    <w:rsid w:val="007867B1"/>
    <w:rsid w:val="00797F32"/>
    <w:rsid w:val="007A2C3F"/>
    <w:rsid w:val="007B0523"/>
    <w:rsid w:val="007D0A0F"/>
    <w:rsid w:val="007F5871"/>
    <w:rsid w:val="00806EFB"/>
    <w:rsid w:val="008511A5"/>
    <w:rsid w:val="008812B0"/>
    <w:rsid w:val="00882F0D"/>
    <w:rsid w:val="00894DDE"/>
    <w:rsid w:val="008B1D4F"/>
    <w:rsid w:val="008C6F2D"/>
    <w:rsid w:val="008D4E53"/>
    <w:rsid w:val="00950631"/>
    <w:rsid w:val="00956F69"/>
    <w:rsid w:val="009969F8"/>
    <w:rsid w:val="00A1143C"/>
    <w:rsid w:val="00A31A68"/>
    <w:rsid w:val="00A3767C"/>
    <w:rsid w:val="00A54A12"/>
    <w:rsid w:val="00A64C9A"/>
    <w:rsid w:val="00AA6B47"/>
    <w:rsid w:val="00AC5DEA"/>
    <w:rsid w:val="00AD1C03"/>
    <w:rsid w:val="00AE3436"/>
    <w:rsid w:val="00B03AE4"/>
    <w:rsid w:val="00B148B1"/>
    <w:rsid w:val="00B414BB"/>
    <w:rsid w:val="00B91EF2"/>
    <w:rsid w:val="00BC4982"/>
    <w:rsid w:val="00BD3EED"/>
    <w:rsid w:val="00C04E98"/>
    <w:rsid w:val="00C2242B"/>
    <w:rsid w:val="00C234BF"/>
    <w:rsid w:val="00C521A5"/>
    <w:rsid w:val="00C628D6"/>
    <w:rsid w:val="00C7342B"/>
    <w:rsid w:val="00C95182"/>
    <w:rsid w:val="00CC0E42"/>
    <w:rsid w:val="00D0062C"/>
    <w:rsid w:val="00D01473"/>
    <w:rsid w:val="00D25678"/>
    <w:rsid w:val="00D32DD3"/>
    <w:rsid w:val="00D41ED8"/>
    <w:rsid w:val="00D47395"/>
    <w:rsid w:val="00D67979"/>
    <w:rsid w:val="00D71B87"/>
    <w:rsid w:val="00DE37FD"/>
    <w:rsid w:val="00DE41F8"/>
    <w:rsid w:val="00E13ADE"/>
    <w:rsid w:val="00E33FE7"/>
    <w:rsid w:val="00E41898"/>
    <w:rsid w:val="00E54F4E"/>
    <w:rsid w:val="00EC79E4"/>
    <w:rsid w:val="00F17167"/>
    <w:rsid w:val="00F26D7F"/>
    <w:rsid w:val="00F27513"/>
    <w:rsid w:val="00F54276"/>
    <w:rsid w:val="00F651CE"/>
    <w:rsid w:val="00F82232"/>
    <w:rsid w:val="00F84DB9"/>
    <w:rsid w:val="00FC6A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0CE26"/>
  <w15:chartTrackingRefBased/>
  <w15:docId w15:val="{076F0867-7B86-4516-9AEE-127BDE26E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82232"/>
    <w:rPr>
      <w:color w:val="0563C1" w:themeColor="hyperlink"/>
      <w:u w:val="single"/>
    </w:rPr>
  </w:style>
  <w:style w:type="table" w:styleId="Tablaconcuadrcula">
    <w:name w:val="Table Grid"/>
    <w:basedOn w:val="Tablanormal"/>
    <w:uiPriority w:val="39"/>
    <w:rsid w:val="00A37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BC4982"/>
    <w:rPr>
      <w:color w:val="605E5C"/>
      <w:shd w:val="clear" w:color="auto" w:fill="E1DFDD"/>
    </w:rPr>
  </w:style>
  <w:style w:type="paragraph" w:styleId="NormalWeb">
    <w:name w:val="Normal (Web)"/>
    <w:basedOn w:val="Normal"/>
    <w:uiPriority w:val="99"/>
    <w:semiHidden/>
    <w:unhideWhenUsed/>
    <w:rsid w:val="007A2C3F"/>
    <w:pPr>
      <w:spacing w:before="100" w:beforeAutospacing="1" w:after="100" w:afterAutospacing="1" w:line="240" w:lineRule="auto"/>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39676">
      <w:bodyDiv w:val="1"/>
      <w:marLeft w:val="0"/>
      <w:marRight w:val="0"/>
      <w:marTop w:val="0"/>
      <w:marBottom w:val="0"/>
      <w:divBdr>
        <w:top w:val="none" w:sz="0" w:space="0" w:color="auto"/>
        <w:left w:val="none" w:sz="0" w:space="0" w:color="auto"/>
        <w:bottom w:val="none" w:sz="0" w:space="0" w:color="auto"/>
        <w:right w:val="none" w:sz="0" w:space="0" w:color="auto"/>
      </w:divBdr>
    </w:div>
    <w:div w:id="22630173">
      <w:bodyDiv w:val="1"/>
      <w:marLeft w:val="0"/>
      <w:marRight w:val="0"/>
      <w:marTop w:val="0"/>
      <w:marBottom w:val="0"/>
      <w:divBdr>
        <w:top w:val="none" w:sz="0" w:space="0" w:color="auto"/>
        <w:left w:val="none" w:sz="0" w:space="0" w:color="auto"/>
        <w:bottom w:val="none" w:sz="0" w:space="0" w:color="auto"/>
        <w:right w:val="none" w:sz="0" w:space="0" w:color="auto"/>
      </w:divBdr>
    </w:div>
    <w:div w:id="52967028">
      <w:bodyDiv w:val="1"/>
      <w:marLeft w:val="0"/>
      <w:marRight w:val="0"/>
      <w:marTop w:val="0"/>
      <w:marBottom w:val="0"/>
      <w:divBdr>
        <w:top w:val="none" w:sz="0" w:space="0" w:color="auto"/>
        <w:left w:val="none" w:sz="0" w:space="0" w:color="auto"/>
        <w:bottom w:val="none" w:sz="0" w:space="0" w:color="auto"/>
        <w:right w:val="none" w:sz="0" w:space="0" w:color="auto"/>
      </w:divBdr>
    </w:div>
    <w:div w:id="347173868">
      <w:bodyDiv w:val="1"/>
      <w:marLeft w:val="0"/>
      <w:marRight w:val="0"/>
      <w:marTop w:val="0"/>
      <w:marBottom w:val="0"/>
      <w:divBdr>
        <w:top w:val="none" w:sz="0" w:space="0" w:color="auto"/>
        <w:left w:val="none" w:sz="0" w:space="0" w:color="auto"/>
        <w:bottom w:val="none" w:sz="0" w:space="0" w:color="auto"/>
        <w:right w:val="none" w:sz="0" w:space="0" w:color="auto"/>
      </w:divBdr>
    </w:div>
    <w:div w:id="404956071">
      <w:bodyDiv w:val="1"/>
      <w:marLeft w:val="0"/>
      <w:marRight w:val="0"/>
      <w:marTop w:val="0"/>
      <w:marBottom w:val="0"/>
      <w:divBdr>
        <w:top w:val="none" w:sz="0" w:space="0" w:color="auto"/>
        <w:left w:val="none" w:sz="0" w:space="0" w:color="auto"/>
        <w:bottom w:val="none" w:sz="0" w:space="0" w:color="auto"/>
        <w:right w:val="none" w:sz="0" w:space="0" w:color="auto"/>
      </w:divBdr>
    </w:div>
    <w:div w:id="485711423">
      <w:bodyDiv w:val="1"/>
      <w:marLeft w:val="0"/>
      <w:marRight w:val="0"/>
      <w:marTop w:val="0"/>
      <w:marBottom w:val="0"/>
      <w:divBdr>
        <w:top w:val="none" w:sz="0" w:space="0" w:color="auto"/>
        <w:left w:val="none" w:sz="0" w:space="0" w:color="auto"/>
        <w:bottom w:val="none" w:sz="0" w:space="0" w:color="auto"/>
        <w:right w:val="none" w:sz="0" w:space="0" w:color="auto"/>
      </w:divBdr>
    </w:div>
    <w:div w:id="548299411">
      <w:bodyDiv w:val="1"/>
      <w:marLeft w:val="0"/>
      <w:marRight w:val="0"/>
      <w:marTop w:val="0"/>
      <w:marBottom w:val="0"/>
      <w:divBdr>
        <w:top w:val="none" w:sz="0" w:space="0" w:color="auto"/>
        <w:left w:val="none" w:sz="0" w:space="0" w:color="auto"/>
        <w:bottom w:val="none" w:sz="0" w:space="0" w:color="auto"/>
        <w:right w:val="none" w:sz="0" w:space="0" w:color="auto"/>
      </w:divBdr>
    </w:div>
    <w:div w:id="745880050">
      <w:bodyDiv w:val="1"/>
      <w:marLeft w:val="0"/>
      <w:marRight w:val="0"/>
      <w:marTop w:val="0"/>
      <w:marBottom w:val="0"/>
      <w:divBdr>
        <w:top w:val="none" w:sz="0" w:space="0" w:color="auto"/>
        <w:left w:val="none" w:sz="0" w:space="0" w:color="auto"/>
        <w:bottom w:val="none" w:sz="0" w:space="0" w:color="auto"/>
        <w:right w:val="none" w:sz="0" w:space="0" w:color="auto"/>
      </w:divBdr>
    </w:div>
    <w:div w:id="747456107">
      <w:bodyDiv w:val="1"/>
      <w:marLeft w:val="0"/>
      <w:marRight w:val="0"/>
      <w:marTop w:val="0"/>
      <w:marBottom w:val="0"/>
      <w:divBdr>
        <w:top w:val="none" w:sz="0" w:space="0" w:color="auto"/>
        <w:left w:val="none" w:sz="0" w:space="0" w:color="auto"/>
        <w:bottom w:val="none" w:sz="0" w:space="0" w:color="auto"/>
        <w:right w:val="none" w:sz="0" w:space="0" w:color="auto"/>
      </w:divBdr>
    </w:div>
    <w:div w:id="960695474">
      <w:bodyDiv w:val="1"/>
      <w:marLeft w:val="0"/>
      <w:marRight w:val="0"/>
      <w:marTop w:val="0"/>
      <w:marBottom w:val="0"/>
      <w:divBdr>
        <w:top w:val="none" w:sz="0" w:space="0" w:color="auto"/>
        <w:left w:val="none" w:sz="0" w:space="0" w:color="auto"/>
        <w:bottom w:val="none" w:sz="0" w:space="0" w:color="auto"/>
        <w:right w:val="none" w:sz="0" w:space="0" w:color="auto"/>
      </w:divBdr>
    </w:div>
    <w:div w:id="1010988171">
      <w:bodyDiv w:val="1"/>
      <w:marLeft w:val="0"/>
      <w:marRight w:val="0"/>
      <w:marTop w:val="0"/>
      <w:marBottom w:val="0"/>
      <w:divBdr>
        <w:top w:val="none" w:sz="0" w:space="0" w:color="auto"/>
        <w:left w:val="none" w:sz="0" w:space="0" w:color="auto"/>
        <w:bottom w:val="none" w:sz="0" w:space="0" w:color="auto"/>
        <w:right w:val="none" w:sz="0" w:space="0" w:color="auto"/>
      </w:divBdr>
    </w:div>
    <w:div w:id="1114862830">
      <w:bodyDiv w:val="1"/>
      <w:marLeft w:val="0"/>
      <w:marRight w:val="0"/>
      <w:marTop w:val="0"/>
      <w:marBottom w:val="0"/>
      <w:divBdr>
        <w:top w:val="none" w:sz="0" w:space="0" w:color="auto"/>
        <w:left w:val="none" w:sz="0" w:space="0" w:color="auto"/>
        <w:bottom w:val="none" w:sz="0" w:space="0" w:color="auto"/>
        <w:right w:val="none" w:sz="0" w:space="0" w:color="auto"/>
      </w:divBdr>
    </w:div>
    <w:div w:id="1188564749">
      <w:bodyDiv w:val="1"/>
      <w:marLeft w:val="0"/>
      <w:marRight w:val="0"/>
      <w:marTop w:val="0"/>
      <w:marBottom w:val="0"/>
      <w:divBdr>
        <w:top w:val="none" w:sz="0" w:space="0" w:color="auto"/>
        <w:left w:val="none" w:sz="0" w:space="0" w:color="auto"/>
        <w:bottom w:val="none" w:sz="0" w:space="0" w:color="auto"/>
        <w:right w:val="none" w:sz="0" w:space="0" w:color="auto"/>
      </w:divBdr>
    </w:div>
    <w:div w:id="1291353486">
      <w:bodyDiv w:val="1"/>
      <w:marLeft w:val="0"/>
      <w:marRight w:val="0"/>
      <w:marTop w:val="0"/>
      <w:marBottom w:val="0"/>
      <w:divBdr>
        <w:top w:val="none" w:sz="0" w:space="0" w:color="auto"/>
        <w:left w:val="none" w:sz="0" w:space="0" w:color="auto"/>
        <w:bottom w:val="none" w:sz="0" w:space="0" w:color="auto"/>
        <w:right w:val="none" w:sz="0" w:space="0" w:color="auto"/>
      </w:divBdr>
    </w:div>
    <w:div w:id="1664158029">
      <w:bodyDiv w:val="1"/>
      <w:marLeft w:val="0"/>
      <w:marRight w:val="0"/>
      <w:marTop w:val="0"/>
      <w:marBottom w:val="0"/>
      <w:divBdr>
        <w:top w:val="none" w:sz="0" w:space="0" w:color="auto"/>
        <w:left w:val="none" w:sz="0" w:space="0" w:color="auto"/>
        <w:bottom w:val="none" w:sz="0" w:space="0" w:color="auto"/>
        <w:right w:val="none" w:sz="0" w:space="0" w:color="auto"/>
      </w:divBdr>
    </w:div>
    <w:div w:id="181391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al157281@alumnos.uacj.mx"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Ask98</b:Tag>
    <b:SourceType>Book</b:SourceType>
    <b:Guid>{F10743CE-0C80-4149-926D-1E61034EBA15}</b:Guid>
    <b:Author>
      <b:Author>
        <b:NameList>
          <b:Person>
            <b:Last>Askaland</b:Last>
            <b:First>D.</b:First>
          </b:Person>
        </b:NameList>
      </b:Author>
    </b:Author>
    <b:Title>Ciencia e ingeniería de los materiales </b:Title>
    <b:Year>1998</b:Year>
    <b:City>Mexico</b:City>
    <b:Publisher>Thomson </b:Publisher>
    <b:Edition>tercera </b:Edition>
    <b:RefOrder>2</b:RefOrder>
  </b:Source>
</b:Sources>
</file>

<file path=customXml/itemProps1.xml><?xml version="1.0" encoding="utf-8"?>
<ds:datastoreItem xmlns:ds="http://schemas.openxmlformats.org/officeDocument/2006/customXml" ds:itemID="{9E463126-3328-45E3-82AC-43911E4A5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833</TotalTime>
  <Pages>10</Pages>
  <Words>5813</Words>
  <Characters>31972</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meraz</dc:creator>
  <cp:keywords/>
  <dc:description/>
  <cp:lastModifiedBy>Tania Izquierdo Almaguer</cp:lastModifiedBy>
  <cp:revision>10</cp:revision>
  <dcterms:created xsi:type="dcterms:W3CDTF">2019-09-15T00:47:00Z</dcterms:created>
  <dcterms:modified xsi:type="dcterms:W3CDTF">2019-09-15T18:45:00Z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546152b1-de51-3bd2-afcf-11f2d2649ca7</vt:lpwstr>
  </property>
  <property fmtid="{D5CDD505-2E9C-101B-9397-08002B2CF9AE}" pid="24" name="Mendeley Citation Style_1">
    <vt:lpwstr>http://www.zotero.org/styles/apa</vt:lpwstr>
  </property>
</Properties>
</file>