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DA2BDB" w14:textId="77777777" w:rsidR="00AB4BB2" w:rsidRPr="00C974C0" w:rsidRDefault="00AB4BB2" w:rsidP="00AB4BB2">
      <w:pPr>
        <w:spacing w:line="360" w:lineRule="auto"/>
        <w:rPr>
          <w:rFonts w:ascii="Arial" w:hAnsi="Arial" w:cs="Arial"/>
          <w:sz w:val="28"/>
          <w:szCs w:val="28"/>
        </w:rPr>
      </w:pPr>
      <w:r w:rsidRPr="00AB4BB2">
        <w:rPr>
          <w:rFonts w:ascii="Arial" w:hAnsi="Arial" w:cs="Arial"/>
          <w:b/>
          <w:bCs/>
          <w:sz w:val="24"/>
          <w:szCs w:val="24"/>
        </w:rPr>
        <w:t>SINTESIS DE ESFERAS DE ALÚMINA-HIDROXIAPATITA DOPADAS DE IONES DE COBRE CON EFECTO ANTIFÚNGICO</w:t>
      </w:r>
      <w:r w:rsidRPr="00C974C0">
        <w:rPr>
          <w:rFonts w:ascii="Arial" w:hAnsi="Arial" w:cs="Arial"/>
          <w:sz w:val="28"/>
          <w:szCs w:val="28"/>
        </w:rPr>
        <w:t>.</w:t>
      </w:r>
    </w:p>
    <w:p w14:paraId="590914D4" w14:textId="34672191" w:rsidR="00CE1B0A" w:rsidRDefault="00CE1B0A" w:rsidP="00CE1B0A">
      <w:pPr>
        <w:pStyle w:val="Encabezado"/>
        <w:spacing w:line="360" w:lineRule="auto"/>
        <w:jc w:val="both"/>
      </w:pPr>
      <w:r w:rsidRPr="00965127">
        <w:rPr>
          <w:rFonts w:ascii="Arial" w:hAnsi="Arial" w:cs="Arial"/>
          <w:b/>
          <w:i/>
          <w:sz w:val="24"/>
          <w:szCs w:val="24"/>
        </w:rPr>
        <w:t xml:space="preserve">Alumna: </w:t>
      </w:r>
      <w:r w:rsidRPr="00CE1B0A">
        <w:rPr>
          <w:rFonts w:ascii="Arial" w:hAnsi="Arial" w:cs="Arial"/>
          <w:b/>
          <w:i/>
          <w:sz w:val="24"/>
          <w:szCs w:val="24"/>
        </w:rPr>
        <w:t>Daniela Daniel Rivera</w:t>
      </w:r>
      <w:r w:rsidRPr="00965127">
        <w:rPr>
          <w:rFonts w:ascii="Arial" w:hAnsi="Arial" w:cs="Arial"/>
          <w:b/>
          <w:i/>
          <w:sz w:val="24"/>
          <w:szCs w:val="24"/>
        </w:rPr>
        <w:t xml:space="preserve">, Universidad Autónoma de Ciudad Juárez </w:t>
      </w:r>
      <w:hyperlink r:id="rId6" w:history="1">
        <w:r w:rsidRPr="00CE1B0A">
          <w:rPr>
            <w:rStyle w:val="Hipervnculo"/>
            <w:rFonts w:ascii="Arial" w:hAnsi="Arial" w:cs="Arial"/>
            <w:color w:val="000000" w:themeColor="text1"/>
            <w:sz w:val="24"/>
            <w:szCs w:val="24"/>
            <w:u w:val="none"/>
          </w:rPr>
          <w:t>al163316@alumnos.uacj.mx</w:t>
        </w:r>
      </w:hyperlink>
    </w:p>
    <w:p w14:paraId="008E20C4" w14:textId="610A0906" w:rsidR="00CE1B0A" w:rsidRPr="003F1854" w:rsidRDefault="00CE1B0A" w:rsidP="00CE1B0A">
      <w:pPr>
        <w:pStyle w:val="Encabezado"/>
        <w:spacing w:line="360" w:lineRule="auto"/>
        <w:jc w:val="both"/>
        <w:rPr>
          <w:rFonts w:ascii="Arial" w:hAnsi="Arial" w:cs="Arial"/>
          <w:b/>
          <w:i/>
          <w:sz w:val="24"/>
          <w:szCs w:val="24"/>
        </w:rPr>
      </w:pPr>
      <w:r w:rsidRPr="003F1854">
        <w:rPr>
          <w:rFonts w:ascii="Arial" w:hAnsi="Arial" w:cs="Arial"/>
          <w:b/>
          <w:i/>
          <w:sz w:val="24"/>
          <w:szCs w:val="24"/>
        </w:rPr>
        <w:t>Asesor: Dr. Simón Y. Reyes López</w:t>
      </w:r>
    </w:p>
    <w:p w14:paraId="678BA63D" w14:textId="373048AA" w:rsidR="00CE1B0A" w:rsidRPr="003F1854" w:rsidRDefault="00CE1B0A" w:rsidP="00CE1B0A">
      <w:pPr>
        <w:spacing w:line="360" w:lineRule="auto"/>
        <w:jc w:val="both"/>
        <w:rPr>
          <w:rFonts w:ascii="Arial" w:hAnsi="Arial" w:cs="Arial"/>
          <w:b/>
          <w:i/>
          <w:sz w:val="24"/>
          <w:szCs w:val="24"/>
          <w:shd w:val="clear" w:color="auto" w:fill="FFFFFF"/>
        </w:rPr>
      </w:pPr>
      <w:r w:rsidRPr="003F1854">
        <w:rPr>
          <w:rFonts w:ascii="Arial" w:hAnsi="Arial" w:cs="Arial"/>
          <w:b/>
          <w:i/>
          <w:sz w:val="24"/>
          <w:szCs w:val="24"/>
          <w:shd w:val="clear" w:color="auto" w:fill="FFFFFF"/>
        </w:rPr>
        <w:t xml:space="preserve">Departamento de Ciencias </w:t>
      </w:r>
      <w:r w:rsidR="00D6557E" w:rsidRPr="003F1854">
        <w:rPr>
          <w:rFonts w:ascii="Arial" w:hAnsi="Arial" w:cs="Arial"/>
          <w:b/>
          <w:i/>
          <w:sz w:val="24"/>
          <w:szCs w:val="24"/>
          <w:shd w:val="clear" w:color="auto" w:fill="FFFFFF"/>
        </w:rPr>
        <w:t>Químico-Biológicas</w:t>
      </w:r>
      <w:r w:rsidRPr="003F1854">
        <w:rPr>
          <w:rFonts w:ascii="Arial" w:hAnsi="Arial" w:cs="Arial"/>
          <w:b/>
          <w:i/>
          <w:sz w:val="24"/>
          <w:szCs w:val="24"/>
          <w:shd w:val="clear" w:color="auto" w:fill="FFFFFF"/>
        </w:rPr>
        <w:t>, Instituto de Ciencias Biomédicas</w:t>
      </w:r>
      <w:r w:rsidRPr="003F1854">
        <w:rPr>
          <w:rFonts w:ascii="Arial" w:hAnsi="Arial" w:cs="Arial"/>
          <w:b/>
          <w:i/>
          <w:sz w:val="24"/>
          <w:szCs w:val="24"/>
        </w:rPr>
        <w:br/>
      </w:r>
      <w:r w:rsidRPr="003F1854">
        <w:rPr>
          <w:rFonts w:ascii="Arial" w:hAnsi="Arial" w:cs="Arial"/>
          <w:b/>
          <w:i/>
          <w:sz w:val="24"/>
          <w:szCs w:val="24"/>
          <w:shd w:val="clear" w:color="auto" w:fill="FFFFFF"/>
        </w:rPr>
        <w:t xml:space="preserve">Universidad Autónoma de Ciudad Juárez. Envolvente del PRONAF y Estocolmo s/n, C.P. 32310. </w:t>
      </w:r>
      <w:hyperlink r:id="rId7" w:history="1">
        <w:r w:rsidRPr="003F1854">
          <w:rPr>
            <w:rStyle w:val="Hipervnculo"/>
            <w:rFonts w:ascii="Arial" w:hAnsi="Arial" w:cs="Arial"/>
            <w:b/>
            <w:i/>
            <w:color w:val="auto"/>
            <w:sz w:val="24"/>
            <w:szCs w:val="24"/>
            <w:u w:val="none"/>
            <w:shd w:val="clear" w:color="auto" w:fill="FFFFFF"/>
          </w:rPr>
          <w:t>simon.reyes@uacj.mx</w:t>
        </w:r>
      </w:hyperlink>
    </w:p>
    <w:p w14:paraId="083D65D0" w14:textId="36779655" w:rsidR="00CE1B0A" w:rsidRPr="00965127" w:rsidRDefault="00CE1B0A" w:rsidP="00CE1B0A">
      <w:pPr>
        <w:autoSpaceDE w:val="0"/>
        <w:autoSpaceDN w:val="0"/>
        <w:adjustRightInd w:val="0"/>
        <w:spacing w:after="240" w:line="360" w:lineRule="auto"/>
        <w:jc w:val="both"/>
        <w:rPr>
          <w:rFonts w:ascii="Arial" w:hAnsi="Arial" w:cs="Arial"/>
          <w:b/>
          <w:sz w:val="24"/>
          <w:szCs w:val="24"/>
        </w:rPr>
      </w:pPr>
      <w:r w:rsidRPr="00965127">
        <w:rPr>
          <w:rFonts w:ascii="Arial" w:hAnsi="Arial" w:cs="Arial"/>
          <w:b/>
          <w:sz w:val="24"/>
          <w:szCs w:val="24"/>
        </w:rPr>
        <w:t>Resumen</w:t>
      </w:r>
    </w:p>
    <w:p w14:paraId="5932B41D" w14:textId="3A678B6D" w:rsidR="004F1355" w:rsidRDefault="00CE1B0A" w:rsidP="004F1355">
      <w:pPr>
        <w:tabs>
          <w:tab w:val="left" w:pos="8397"/>
        </w:tabs>
        <w:spacing w:line="360" w:lineRule="auto"/>
        <w:jc w:val="both"/>
        <w:rPr>
          <w:rFonts w:ascii="Arial" w:hAnsi="Arial" w:cs="Arial"/>
          <w:b/>
          <w:bCs/>
          <w:sz w:val="24"/>
          <w:szCs w:val="24"/>
        </w:rPr>
      </w:pPr>
      <w:r>
        <w:rPr>
          <w:rFonts w:ascii="Arial" w:hAnsi="Arial" w:cs="Arial"/>
          <w:sz w:val="24"/>
          <w:szCs w:val="24"/>
        </w:rPr>
        <w:t>En l</w:t>
      </w:r>
      <w:r w:rsidR="00D15B88">
        <w:rPr>
          <w:rFonts w:ascii="Arial" w:hAnsi="Arial" w:cs="Arial"/>
          <w:sz w:val="24"/>
          <w:szCs w:val="24"/>
        </w:rPr>
        <w:t xml:space="preserve">a presente investigación </w:t>
      </w:r>
      <w:r w:rsidR="00C6206C">
        <w:rPr>
          <w:rFonts w:ascii="Arial" w:hAnsi="Arial" w:cs="Arial"/>
          <w:sz w:val="24"/>
          <w:szCs w:val="24"/>
        </w:rPr>
        <w:t xml:space="preserve">se </w:t>
      </w:r>
      <w:r w:rsidR="00D15B88">
        <w:rPr>
          <w:rFonts w:ascii="Arial" w:hAnsi="Arial" w:cs="Arial"/>
          <w:sz w:val="24"/>
          <w:szCs w:val="24"/>
        </w:rPr>
        <w:t xml:space="preserve">propone una nueva ruta de </w:t>
      </w:r>
      <w:r>
        <w:rPr>
          <w:rFonts w:ascii="Arial" w:hAnsi="Arial" w:cs="Arial"/>
          <w:sz w:val="24"/>
          <w:szCs w:val="24"/>
        </w:rPr>
        <w:t xml:space="preserve">síntesis de </w:t>
      </w:r>
      <w:r w:rsidR="00C97C15">
        <w:rPr>
          <w:rFonts w:ascii="Arial" w:hAnsi="Arial" w:cs="Arial"/>
          <w:sz w:val="24"/>
          <w:szCs w:val="24"/>
        </w:rPr>
        <w:t>compositos</w:t>
      </w:r>
      <w:r>
        <w:rPr>
          <w:rFonts w:ascii="Arial" w:hAnsi="Arial" w:cs="Arial"/>
          <w:sz w:val="24"/>
          <w:szCs w:val="24"/>
        </w:rPr>
        <w:t xml:space="preserve"> </w:t>
      </w:r>
      <w:r w:rsidR="00D15B88">
        <w:rPr>
          <w:rFonts w:ascii="Arial" w:hAnsi="Arial" w:cs="Arial"/>
          <w:sz w:val="24"/>
          <w:szCs w:val="24"/>
        </w:rPr>
        <w:t>antifúngicos</w:t>
      </w:r>
      <w:r w:rsidR="00CA006E">
        <w:rPr>
          <w:rFonts w:ascii="Arial" w:hAnsi="Arial" w:cs="Arial"/>
          <w:sz w:val="24"/>
          <w:szCs w:val="24"/>
        </w:rPr>
        <w:t xml:space="preserve"> a base de </w:t>
      </w:r>
      <w:r>
        <w:rPr>
          <w:rFonts w:ascii="Arial" w:hAnsi="Arial" w:cs="Arial"/>
          <w:sz w:val="24"/>
          <w:szCs w:val="24"/>
        </w:rPr>
        <w:t>c</w:t>
      </w:r>
      <w:r w:rsidR="00CA006E">
        <w:rPr>
          <w:rFonts w:ascii="Arial" w:hAnsi="Arial" w:cs="Arial"/>
          <w:sz w:val="24"/>
          <w:szCs w:val="24"/>
        </w:rPr>
        <w:t>obre</w:t>
      </w:r>
      <w:r>
        <w:rPr>
          <w:rFonts w:ascii="Arial" w:hAnsi="Arial" w:cs="Arial"/>
          <w:sz w:val="24"/>
          <w:szCs w:val="24"/>
        </w:rPr>
        <w:t>,</w:t>
      </w:r>
      <w:r w:rsidR="00CA006E">
        <w:rPr>
          <w:rFonts w:ascii="Arial" w:hAnsi="Arial" w:cs="Arial"/>
          <w:sz w:val="24"/>
          <w:szCs w:val="24"/>
        </w:rPr>
        <w:t xml:space="preserve"> debido a que </w:t>
      </w:r>
      <w:r>
        <w:rPr>
          <w:rFonts w:ascii="Arial" w:hAnsi="Arial" w:cs="Arial"/>
          <w:sz w:val="24"/>
          <w:szCs w:val="24"/>
        </w:rPr>
        <w:t xml:space="preserve">el cobre </w:t>
      </w:r>
      <w:r w:rsidR="00CA006E">
        <w:rPr>
          <w:rFonts w:ascii="Arial" w:hAnsi="Arial" w:cs="Arial"/>
          <w:sz w:val="24"/>
          <w:szCs w:val="24"/>
        </w:rPr>
        <w:t xml:space="preserve">es un </w:t>
      </w:r>
      <w:r w:rsidR="007B530F">
        <w:rPr>
          <w:rFonts w:ascii="Arial" w:hAnsi="Arial" w:cs="Arial"/>
          <w:sz w:val="24"/>
          <w:szCs w:val="24"/>
        </w:rPr>
        <w:t>micro</w:t>
      </w:r>
      <w:r w:rsidR="00CA006E">
        <w:rPr>
          <w:rFonts w:ascii="Arial" w:hAnsi="Arial" w:cs="Arial"/>
          <w:sz w:val="24"/>
          <w:szCs w:val="24"/>
        </w:rPr>
        <w:t xml:space="preserve">elemento esencial en los organismos vivos y a altas concentraciones resulta ser toxico. </w:t>
      </w:r>
      <w:r w:rsidR="00957DB9">
        <w:rPr>
          <w:rFonts w:ascii="Arial" w:hAnsi="Arial" w:cs="Arial"/>
          <w:sz w:val="24"/>
          <w:szCs w:val="24"/>
        </w:rPr>
        <w:t xml:space="preserve">Para evaluar la actividad fungicida del cobre se </w:t>
      </w:r>
      <w:r w:rsidR="00C97C15">
        <w:rPr>
          <w:rFonts w:ascii="Arial" w:hAnsi="Arial" w:cs="Arial"/>
          <w:sz w:val="24"/>
          <w:szCs w:val="24"/>
        </w:rPr>
        <w:t>empleó</w:t>
      </w:r>
      <w:r w:rsidR="00957DB9">
        <w:rPr>
          <w:rFonts w:ascii="Arial" w:hAnsi="Arial" w:cs="Arial"/>
          <w:sz w:val="24"/>
          <w:szCs w:val="24"/>
        </w:rPr>
        <w:t xml:space="preserve"> una matriz de alúmina-hidroxiapatita </w:t>
      </w:r>
      <w:r w:rsidR="001663BF">
        <w:rPr>
          <w:rFonts w:ascii="Arial" w:hAnsi="Arial" w:cs="Arial"/>
          <w:sz w:val="24"/>
          <w:szCs w:val="24"/>
        </w:rPr>
        <w:t xml:space="preserve">(AL-HA) </w:t>
      </w:r>
      <w:r w:rsidR="00957DB9">
        <w:rPr>
          <w:rFonts w:ascii="Arial" w:hAnsi="Arial" w:cs="Arial"/>
          <w:sz w:val="24"/>
          <w:szCs w:val="24"/>
        </w:rPr>
        <w:t>dopada de</w:t>
      </w:r>
      <w:r w:rsidR="00957DB9" w:rsidRPr="00F70178">
        <w:rPr>
          <w:rFonts w:ascii="Arial" w:hAnsi="Arial" w:cs="Arial"/>
          <w:sz w:val="24"/>
          <w:szCs w:val="24"/>
        </w:rPr>
        <w:t xml:space="preserve"> iones de cobre</w:t>
      </w:r>
      <w:r w:rsidR="001663BF">
        <w:rPr>
          <w:rFonts w:ascii="Arial" w:hAnsi="Arial" w:cs="Arial"/>
          <w:sz w:val="24"/>
          <w:szCs w:val="24"/>
        </w:rPr>
        <w:t xml:space="preserve"> (Cu)</w:t>
      </w:r>
      <w:r w:rsidR="00957DB9">
        <w:rPr>
          <w:rFonts w:ascii="Arial" w:hAnsi="Arial" w:cs="Arial"/>
          <w:sz w:val="24"/>
          <w:szCs w:val="24"/>
        </w:rPr>
        <w:t xml:space="preserve">. </w:t>
      </w:r>
      <w:r w:rsidRPr="00CE1B0A">
        <w:rPr>
          <w:rFonts w:ascii="Arial" w:hAnsi="Arial" w:cs="Arial"/>
          <w:sz w:val="24"/>
          <w:szCs w:val="24"/>
        </w:rPr>
        <w:t>Mediante e</w:t>
      </w:r>
      <w:r>
        <w:rPr>
          <w:rFonts w:ascii="Arial" w:hAnsi="Arial" w:cs="Arial"/>
          <w:sz w:val="24"/>
          <w:szCs w:val="24"/>
        </w:rPr>
        <w:t>l</w:t>
      </w:r>
      <w:r w:rsidRPr="00CE1B0A">
        <w:rPr>
          <w:rFonts w:ascii="Arial" w:hAnsi="Arial" w:cs="Arial"/>
          <w:sz w:val="24"/>
          <w:szCs w:val="24"/>
        </w:rPr>
        <w:t xml:space="preserve"> método de encapsulación iónica se obtuvieron esferas de alúmina con esfericidad </w:t>
      </w:r>
      <w:r>
        <w:rPr>
          <w:rFonts w:ascii="Arial" w:hAnsi="Arial" w:cs="Arial"/>
          <w:sz w:val="24"/>
          <w:szCs w:val="24"/>
        </w:rPr>
        <w:t>de ~</w:t>
      </w:r>
      <w:r w:rsidRPr="00CE1B0A">
        <w:rPr>
          <w:rFonts w:ascii="Arial" w:hAnsi="Arial" w:cs="Arial"/>
          <w:sz w:val="24"/>
          <w:szCs w:val="24"/>
        </w:rPr>
        <w:t xml:space="preserve"> 0.8 y </w:t>
      </w:r>
      <w:r>
        <w:rPr>
          <w:rFonts w:ascii="Arial" w:hAnsi="Arial" w:cs="Arial"/>
          <w:sz w:val="24"/>
          <w:szCs w:val="24"/>
        </w:rPr>
        <w:t>con</w:t>
      </w:r>
      <w:r w:rsidRPr="00CE1B0A">
        <w:rPr>
          <w:rFonts w:ascii="Arial" w:hAnsi="Arial" w:cs="Arial"/>
          <w:sz w:val="24"/>
          <w:szCs w:val="24"/>
        </w:rPr>
        <w:t xml:space="preserve"> una densidad 2.1 g/cm</w:t>
      </w:r>
      <w:r w:rsidRPr="00CE1B0A">
        <w:rPr>
          <w:rFonts w:ascii="Arial" w:hAnsi="Arial" w:cs="Arial"/>
          <w:sz w:val="24"/>
          <w:szCs w:val="24"/>
          <w:vertAlign w:val="superscript"/>
        </w:rPr>
        <w:t>3</w:t>
      </w:r>
      <w:r w:rsidRPr="00CE1B0A">
        <w:rPr>
          <w:rFonts w:ascii="Arial" w:hAnsi="Arial" w:cs="Arial"/>
          <w:sz w:val="24"/>
          <w:szCs w:val="24"/>
        </w:rPr>
        <w:t>. Mediante el método de sol gel se obtuvo una solución de hidroxiapatita para recubrir las esferas de alúmina</w:t>
      </w:r>
      <w:r>
        <w:rPr>
          <w:rFonts w:ascii="Arial" w:hAnsi="Arial" w:cs="Arial"/>
          <w:sz w:val="24"/>
          <w:szCs w:val="24"/>
        </w:rPr>
        <w:t xml:space="preserve">. </w:t>
      </w:r>
      <w:r w:rsidR="00957DB9">
        <w:rPr>
          <w:rFonts w:ascii="Arial" w:hAnsi="Arial" w:cs="Arial"/>
          <w:sz w:val="24"/>
          <w:szCs w:val="24"/>
        </w:rPr>
        <w:t xml:space="preserve">La caracterización de las propiedades microestructurales de las esferas de alúmina-hidroxiapatita-cobre se </w:t>
      </w:r>
      <w:r w:rsidR="00C97C15">
        <w:rPr>
          <w:rFonts w:ascii="Arial" w:hAnsi="Arial" w:cs="Arial"/>
          <w:sz w:val="24"/>
          <w:szCs w:val="24"/>
        </w:rPr>
        <w:t>llevó</w:t>
      </w:r>
      <w:r w:rsidR="00957DB9">
        <w:rPr>
          <w:rFonts w:ascii="Arial" w:hAnsi="Arial" w:cs="Arial"/>
          <w:sz w:val="24"/>
          <w:szCs w:val="24"/>
        </w:rPr>
        <w:t xml:space="preserve"> a cabo por la microscopia electrónica de barrido (SEM), difracción de rayos X (XDR), infrarrojo con transformada de Fourier (FTIR), y espectroscopia Raman.</w:t>
      </w:r>
      <w:r>
        <w:rPr>
          <w:rFonts w:ascii="Arial" w:hAnsi="Arial" w:cs="Arial"/>
          <w:sz w:val="24"/>
          <w:szCs w:val="24"/>
        </w:rPr>
        <w:t xml:space="preserve"> Donde s</w:t>
      </w:r>
      <w:r w:rsidRPr="00CE1B0A">
        <w:rPr>
          <w:rFonts w:ascii="Arial" w:hAnsi="Arial" w:cs="Arial"/>
          <w:sz w:val="24"/>
          <w:szCs w:val="24"/>
        </w:rPr>
        <w:t xml:space="preserve">e comprobó que los iones de cobre </w:t>
      </w:r>
      <w:r>
        <w:rPr>
          <w:rFonts w:ascii="Arial" w:hAnsi="Arial" w:cs="Arial"/>
          <w:sz w:val="24"/>
          <w:szCs w:val="24"/>
        </w:rPr>
        <w:t xml:space="preserve">se distribuían </w:t>
      </w:r>
      <w:r w:rsidRPr="00CE1B0A">
        <w:rPr>
          <w:rFonts w:ascii="Arial" w:hAnsi="Arial" w:cs="Arial"/>
          <w:sz w:val="24"/>
          <w:szCs w:val="24"/>
        </w:rPr>
        <w:t>sobre la superficie</w:t>
      </w:r>
      <w:r>
        <w:rPr>
          <w:rFonts w:ascii="Arial" w:hAnsi="Arial" w:cs="Arial"/>
          <w:sz w:val="24"/>
          <w:szCs w:val="24"/>
        </w:rPr>
        <w:t xml:space="preserve"> de las esferas de hidroxiapatita-alúmina.</w:t>
      </w:r>
    </w:p>
    <w:p w14:paraId="09349853" w14:textId="77777777" w:rsidR="004F1355" w:rsidRPr="004F1355" w:rsidRDefault="004F1355" w:rsidP="00CE1B0A">
      <w:pPr>
        <w:tabs>
          <w:tab w:val="left" w:pos="8397"/>
        </w:tabs>
        <w:spacing w:line="360" w:lineRule="auto"/>
        <w:rPr>
          <w:rFonts w:ascii="Arial" w:hAnsi="Arial" w:cs="Arial"/>
          <w:i/>
          <w:iCs/>
          <w:sz w:val="24"/>
          <w:szCs w:val="24"/>
        </w:rPr>
        <w:sectPr w:rsidR="004F1355" w:rsidRPr="004F1355">
          <w:pgSz w:w="12240" w:h="15840"/>
          <w:pgMar w:top="1417" w:right="1701" w:bottom="1417" w:left="1701" w:header="708" w:footer="708" w:gutter="0"/>
          <w:cols w:space="708"/>
          <w:docGrid w:linePitch="360"/>
        </w:sectPr>
      </w:pPr>
      <w:r w:rsidRPr="00CE1B0A">
        <w:rPr>
          <w:rFonts w:ascii="Arial" w:hAnsi="Arial" w:cs="Arial"/>
          <w:b/>
          <w:bCs/>
          <w:sz w:val="24"/>
          <w:szCs w:val="24"/>
        </w:rPr>
        <w:t>Palabras clave:</w:t>
      </w:r>
      <w:r>
        <w:rPr>
          <w:rFonts w:ascii="Arial" w:hAnsi="Arial" w:cs="Arial"/>
          <w:i/>
          <w:iCs/>
          <w:sz w:val="24"/>
          <w:szCs w:val="24"/>
        </w:rPr>
        <w:t xml:space="preserve"> alúmina, hidroxiapatita, cobre, antifúngico, resistencia. </w:t>
      </w:r>
    </w:p>
    <w:p w14:paraId="43B6722F" w14:textId="12D16693" w:rsidR="00CE1B0A" w:rsidRDefault="00CE1B0A" w:rsidP="004F1355">
      <w:pPr>
        <w:tabs>
          <w:tab w:val="left" w:pos="8397"/>
        </w:tabs>
        <w:spacing w:line="360" w:lineRule="auto"/>
        <w:jc w:val="center"/>
        <w:rPr>
          <w:rFonts w:ascii="Arial" w:hAnsi="Arial" w:cs="Arial"/>
          <w:b/>
          <w:bCs/>
          <w:sz w:val="24"/>
          <w:szCs w:val="24"/>
        </w:rPr>
      </w:pPr>
    </w:p>
    <w:p w14:paraId="0658CC2E" w14:textId="179DABB9" w:rsidR="00AB4BB2" w:rsidRDefault="00AB4BB2" w:rsidP="004F1355">
      <w:pPr>
        <w:tabs>
          <w:tab w:val="left" w:pos="8397"/>
        </w:tabs>
        <w:spacing w:line="360" w:lineRule="auto"/>
        <w:jc w:val="center"/>
        <w:rPr>
          <w:rFonts w:ascii="Arial" w:hAnsi="Arial" w:cs="Arial"/>
          <w:b/>
          <w:bCs/>
          <w:sz w:val="24"/>
          <w:szCs w:val="24"/>
        </w:rPr>
      </w:pPr>
    </w:p>
    <w:p w14:paraId="16D195BA" w14:textId="77777777" w:rsidR="00AB4BB2" w:rsidRDefault="00AB4BB2" w:rsidP="004F1355">
      <w:pPr>
        <w:tabs>
          <w:tab w:val="left" w:pos="8397"/>
        </w:tabs>
        <w:spacing w:line="360" w:lineRule="auto"/>
        <w:jc w:val="center"/>
        <w:rPr>
          <w:rFonts w:ascii="Arial" w:hAnsi="Arial" w:cs="Arial"/>
          <w:b/>
          <w:bCs/>
          <w:sz w:val="24"/>
          <w:szCs w:val="24"/>
        </w:rPr>
      </w:pPr>
    </w:p>
    <w:p w14:paraId="1E11B833" w14:textId="77777777" w:rsidR="00CE1B0A" w:rsidRDefault="00CE1B0A" w:rsidP="004F1355">
      <w:pPr>
        <w:tabs>
          <w:tab w:val="left" w:pos="8397"/>
        </w:tabs>
        <w:spacing w:line="360" w:lineRule="auto"/>
        <w:jc w:val="center"/>
        <w:rPr>
          <w:rFonts w:ascii="Arial" w:hAnsi="Arial" w:cs="Arial"/>
          <w:b/>
          <w:bCs/>
          <w:sz w:val="24"/>
          <w:szCs w:val="24"/>
        </w:rPr>
      </w:pPr>
    </w:p>
    <w:p w14:paraId="41C46F2F" w14:textId="735E78B3" w:rsidR="00D444B9" w:rsidRPr="00F70178" w:rsidRDefault="00CE1B0A" w:rsidP="00CE1B0A">
      <w:pPr>
        <w:tabs>
          <w:tab w:val="left" w:pos="8397"/>
        </w:tabs>
        <w:spacing w:line="360" w:lineRule="auto"/>
        <w:jc w:val="both"/>
        <w:rPr>
          <w:rFonts w:ascii="Arial" w:hAnsi="Arial" w:cs="Arial"/>
          <w:b/>
          <w:bCs/>
          <w:sz w:val="24"/>
          <w:szCs w:val="24"/>
        </w:rPr>
      </w:pPr>
      <w:r w:rsidRPr="00F70178">
        <w:rPr>
          <w:rFonts w:ascii="Arial" w:hAnsi="Arial" w:cs="Arial"/>
          <w:b/>
          <w:bCs/>
          <w:sz w:val="24"/>
          <w:szCs w:val="24"/>
        </w:rPr>
        <w:lastRenderedPageBreak/>
        <w:t>Introducción</w:t>
      </w:r>
    </w:p>
    <w:p w14:paraId="711C7772" w14:textId="3C94239A" w:rsidR="00D444B9" w:rsidRDefault="00D444B9" w:rsidP="004F1355">
      <w:pPr>
        <w:spacing w:line="360" w:lineRule="auto"/>
        <w:jc w:val="both"/>
        <w:rPr>
          <w:rFonts w:ascii="Arial" w:hAnsi="Arial" w:cs="Arial"/>
          <w:sz w:val="24"/>
          <w:szCs w:val="24"/>
        </w:rPr>
      </w:pPr>
      <w:r w:rsidRPr="00960A7F">
        <w:rPr>
          <w:rFonts w:ascii="Arial" w:hAnsi="Arial" w:cs="Arial"/>
          <w:sz w:val="24"/>
          <w:szCs w:val="24"/>
        </w:rPr>
        <w:t>En la actualidad los hongos presentan una elevada resistencia a los fungicidas debido a las mutaciones que les permiten desarrollar mecanismos hacia el principio activo, ocasionando un grave problema de salud al no encontrarse fungicidas de amplio espectro o de carácter específico hacia una cepa resistente</w:t>
      </w:r>
      <w:bookmarkStart w:id="0" w:name="_Hlk17739691"/>
      <w:r>
        <w:rPr>
          <w:rFonts w:ascii="Arial" w:hAnsi="Arial" w:cs="Arial"/>
          <w:sz w:val="24"/>
          <w:szCs w:val="24"/>
        </w:rPr>
        <w:t xml:space="preserve"> </w:t>
      </w:r>
      <w:r>
        <w:rPr>
          <w:rFonts w:ascii="Arial" w:hAnsi="Arial" w:cs="Arial"/>
          <w:sz w:val="24"/>
          <w:szCs w:val="24"/>
        </w:rPr>
        <w:fldChar w:fldCharType="begin" w:fldLock="1"/>
      </w:r>
      <w:r w:rsidR="003B3055">
        <w:rPr>
          <w:rFonts w:ascii="Arial" w:hAnsi="Arial" w:cs="Arial"/>
          <w:sz w:val="24"/>
          <w:szCs w:val="24"/>
        </w:rPr>
        <w:instrText>ADDIN CSL_CITATION {"citationItems":[{"id":"ITEM-1","itemData":{"abstract":"Most people consider that the disease of the digestive system (gastritis) is due to the wrong diet or irregular eating. To improve the diet requires good knowledge and positive behavior because it will affect how a person takes precautions so that gastritis does not occur. The purpose of this study is to determine the relationship between knowledge about the causes of gastritis with gastritis prevention behavior in undergraduated of Nursing Program University of Muhamadiyah Banjarmasin. Subjects used in this study are students of undergraduated of Nursing Program with sample of 277 respondents taken using accidental sampling techniques and statistical tests using Spearman Rank. The result of this research is there is correlation between knowledge about cause of gastritis with behavior of prevention of gastritis with value P = 0,000 &lt;α 0,05. Based on the results of the study is expected the community and especially students can increase knowledge of the causes of gastritis.","author":[{"dropping-particle":"","family":"Adaskaveg","given":"J","non-dropping-particle":"","parse-names":false,"suffix":""},{"dropping-particle":"","family":"Förster","given":"H","non-dropping-particle":"","parse-names":false,"suffix":""},{"dropping-particle":"","family":"Thompson","given":"D","non-dropping-particle":"","parse-names":false,"suffix":""}],"container-title":"Departament of plant pathology","id":"ITEM-1","issued":{"date-parts":[["2012"]]},"page":"69-73","title":"Resistance management a necessity in fungicide usage","type":"article-journal","volume":"49"},"uris":["http://www.mendeley.com/documents/?uuid=e659e608-c863-45eb-afeb-094ed316e205"]}],"mendeley":{"formattedCitation":"(Adaskaveg, Förster, &amp; Thompson, 2012)","plainTextFormattedCitation":"(Adaskaveg, Förster, &amp; Thompson, 2012)","previouslyFormattedCitation":"(Adaskaveg, Förster, &amp; Thompson, 2012)"},"properties":{"noteIndex":0},"schema":"https://github.com/citation-style-language/schema/raw/master/csl-citation.json"}</w:instrText>
      </w:r>
      <w:r>
        <w:rPr>
          <w:rFonts w:ascii="Arial" w:hAnsi="Arial" w:cs="Arial"/>
          <w:sz w:val="24"/>
          <w:szCs w:val="24"/>
        </w:rPr>
        <w:fldChar w:fldCharType="separate"/>
      </w:r>
      <w:r w:rsidR="00D15B88" w:rsidRPr="00D15B88">
        <w:rPr>
          <w:rFonts w:ascii="Arial" w:hAnsi="Arial" w:cs="Arial"/>
          <w:noProof/>
          <w:sz w:val="24"/>
          <w:szCs w:val="24"/>
        </w:rPr>
        <w:t>(Adaskaveg, Förster, &amp; Thompson, 2012)</w:t>
      </w:r>
      <w:r>
        <w:rPr>
          <w:rFonts w:ascii="Arial" w:hAnsi="Arial" w:cs="Arial"/>
          <w:sz w:val="24"/>
          <w:szCs w:val="24"/>
        </w:rPr>
        <w:fldChar w:fldCharType="end"/>
      </w:r>
      <w:r>
        <w:rPr>
          <w:rFonts w:ascii="Arial" w:hAnsi="Arial" w:cs="Arial"/>
          <w:sz w:val="24"/>
          <w:szCs w:val="24"/>
        </w:rPr>
        <w:t>. La resistencia a los fungicidas se ha presentado por el abuso a antimicóticos, a la disminución de las dosis terapéuticas recomendadas, entre otros</w:t>
      </w:r>
      <w:bookmarkEnd w:id="0"/>
      <w:r>
        <w:rPr>
          <w:rFonts w:ascii="Arial" w:hAnsi="Arial" w:cs="Arial"/>
          <w:sz w:val="24"/>
          <w:szCs w:val="24"/>
        </w:rPr>
        <w:t xml:space="preserve"> </w:t>
      </w:r>
      <w:r>
        <w:rPr>
          <w:rFonts w:ascii="Arial" w:hAnsi="Arial" w:cs="Arial"/>
          <w:sz w:val="24"/>
          <w:szCs w:val="24"/>
        </w:rPr>
        <w:fldChar w:fldCharType="begin" w:fldLock="1"/>
      </w:r>
      <w:r w:rsidR="003B3055">
        <w:rPr>
          <w:rFonts w:ascii="Arial" w:hAnsi="Arial" w:cs="Arial"/>
          <w:sz w:val="24"/>
          <w:szCs w:val="24"/>
        </w:rPr>
        <w:instrText>ADDIN CSL_CITATION {"citationItems":[{"id":"ITEM-1","itemData":{"ISBN":"9789253073481","author":[{"dropping-particle":"","family":"Hernández","given":"J","non-dropping-particle":"","parse-names":false,"suffix":""}],"container-title":"Organización de las Naciones Unidas para la Agricultura y la Alimentación","id":"ITEM-1","issued":{"date-parts":[["2012"]]},"page":"61","title":"Distribución y utilización de plaguicidas directrices sobre la prevención y manejo de la resistencia a los plaguicidas","type":"article-journal"},"uris":["http://www.mendeley.com/documents/?uuid=53ea944f-0bda-4029-80d3-1485d1f4f630"]}],"mendeley":{"formattedCitation":"(Hernández, 2012)","plainTextFormattedCitation":"(Hernández, 2012)","previouslyFormattedCitation":"(Hernández, 2012)"},"properties":{"noteIndex":0},"schema":"https://github.com/citation-style-language/schema/raw/master/csl-citation.json"}</w:instrText>
      </w:r>
      <w:r>
        <w:rPr>
          <w:rFonts w:ascii="Arial" w:hAnsi="Arial" w:cs="Arial"/>
          <w:sz w:val="24"/>
          <w:szCs w:val="24"/>
        </w:rPr>
        <w:fldChar w:fldCharType="separate"/>
      </w:r>
      <w:r w:rsidR="00D15B88" w:rsidRPr="00D15B88">
        <w:rPr>
          <w:rFonts w:ascii="Arial" w:hAnsi="Arial" w:cs="Arial"/>
          <w:noProof/>
          <w:sz w:val="24"/>
          <w:szCs w:val="24"/>
        </w:rPr>
        <w:t>(Hernández, 2012)</w:t>
      </w:r>
      <w:r>
        <w:rPr>
          <w:rFonts w:ascii="Arial" w:hAnsi="Arial" w:cs="Arial"/>
          <w:sz w:val="24"/>
          <w:szCs w:val="24"/>
        </w:rPr>
        <w:fldChar w:fldCharType="end"/>
      </w:r>
      <w:r>
        <w:rPr>
          <w:rFonts w:ascii="Arial" w:hAnsi="Arial" w:cs="Arial"/>
          <w:sz w:val="24"/>
          <w:szCs w:val="24"/>
        </w:rPr>
        <w:t>.</w:t>
      </w:r>
      <w:bookmarkStart w:id="1" w:name="_Hlk17739851"/>
      <w:r w:rsidR="00950156">
        <w:rPr>
          <w:rFonts w:ascii="Arial" w:hAnsi="Arial" w:cs="Arial"/>
          <w:sz w:val="24"/>
          <w:szCs w:val="24"/>
        </w:rPr>
        <w:t xml:space="preserve"> </w:t>
      </w:r>
      <w:r>
        <w:rPr>
          <w:rFonts w:ascii="Arial" w:hAnsi="Arial" w:cs="Arial"/>
          <w:sz w:val="24"/>
          <w:szCs w:val="24"/>
        </w:rPr>
        <w:t xml:space="preserve">La infección por patógenos oportunistas tales como </w:t>
      </w:r>
      <w:r w:rsidRPr="00454630">
        <w:rPr>
          <w:rFonts w:ascii="Arial" w:hAnsi="Arial" w:cs="Arial"/>
          <w:i/>
          <w:iCs/>
          <w:sz w:val="24"/>
          <w:szCs w:val="24"/>
        </w:rPr>
        <w:t>Candida spp</w:t>
      </w:r>
      <w:r>
        <w:rPr>
          <w:rFonts w:ascii="Arial" w:hAnsi="Arial" w:cs="Arial"/>
          <w:sz w:val="24"/>
          <w:szCs w:val="24"/>
        </w:rPr>
        <w:t xml:space="preserve">. son las más frecuentes y representan hasta el 80% de las infecciones nosocomiales también han sido asociados a la formación de biopelículas permitiéndole adherirse a prótesis cardiacas o dentales, catéteres, entre otros dispositivos médicos favoreciendo la diseminación del patógeno </w:t>
      </w:r>
      <w:r w:rsidRPr="00597EAB">
        <w:rPr>
          <w:rFonts w:ascii="Arial" w:hAnsi="Arial" w:cs="Arial"/>
          <w:sz w:val="24"/>
          <w:szCs w:val="24"/>
        </w:rPr>
        <w:t xml:space="preserve">e impidiendo el correcto funcionamiento de los dispositivos </w:t>
      </w:r>
      <w:r w:rsidRPr="00597EAB">
        <w:rPr>
          <w:rFonts w:ascii="Arial" w:hAnsi="Arial" w:cs="Arial"/>
          <w:sz w:val="24"/>
          <w:szCs w:val="24"/>
        </w:rPr>
        <w:fldChar w:fldCharType="begin" w:fldLock="1"/>
      </w:r>
      <w:r w:rsidR="003B3055">
        <w:rPr>
          <w:rFonts w:ascii="Arial" w:hAnsi="Arial" w:cs="Arial"/>
          <w:sz w:val="24"/>
          <w:szCs w:val="24"/>
        </w:rPr>
        <w:instrText>ADDIN CSL_CITATION {"citationItems":[{"id":"ITEM-1","itemData":{"DOI":"10.32776/revbiomed.v27i3.541","abstract":"Candida albicans es una levadura comensal capaz de causar una infección oportunista en hospederos susceptibles denominada candidiasis. El tratamiento para combatir la candidiasis puede ser tópico o sistémico según el tipo de infección, los antifúngicos más utilizados son los derivados imidazólicos (fluconazol, itraconazol, ketoconazol, miconazol etc.), sin embargo en la actualidad se observa una disminución en la efectividad de estos medicamentos, es decir, un fenómeno de resistencia de parte del microorganismo a estos fármacos, esto debido principalmente, al surgimiento de levaduras resistentes, a la aparición de nuevas especies patógenas, a la prescripción irracional de antimicóticos como profilaxis y al aumento de las dosis terapéuticas. Existen dos mecanismos por los que Candida puede adquirir resistencia a un azol. El primero es por mutaciones moleculares de la enzima diana del antifúngico, como la alteración de las enzimas relacionadas en la síntesis del ergosterol y el segundo por la alteración en las bombas de expulsión: ATP-binding cassette (ABC) y facilitadores mayores (MF). En este trabajo se resumen los principales mecanismos de resistencia en Candida y la importancia de hacer pruebas de susceptibilidad con el fin de brindar un tratamiento adecuado para este tipo de infecciones oportunistas.","author":[{"dropping-particle":"","family":"López","given":"Karina","non-dropping-particle":"","parse-names":false,"suffix":""},{"dropping-particle":"","family":"Dzul","given":"Karla R","non-dropping-particle":"","parse-names":false,"suffix":""},{"dropping-particle":"","family":"Lugo","given":"César","non-dropping-particle":"","parse-names":false,"suffix":""},{"dropping-particle":"","family":"Arias","given":"Juan J","non-dropping-particle":"","parse-names":false,"suffix":""},{"dropping-particle":"","family":"Zavala","given":"Jorge E.","non-dropping-particle":"","parse-names":false,"suffix":""}],"container-title":"Revista Biomédica","id":"ITEM-1","issue":"3","issued":{"date-parts":[["2016"]]},"page":"127-136","title":"Mecanismos de resistencia antifúngica de los azoles en Candida albicans.","type":"article-journal","volume":"27"},"uris":["http://www.mendeley.com/documents/?uuid=6e3ca78f-d74f-4e12-aba3-6f114f2403ea"]}],"mendeley":{"formattedCitation":"(López, Dzul, Lugo, Arias, &amp; Zavala, 2016)","plainTextFormattedCitation":"(López, Dzul, Lugo, Arias, &amp; Zavala, 2016)","previouslyFormattedCitation":"(López, Dzul, Lugo, Arias, &amp; Zavala, 2016)"},"properties":{"noteIndex":0},"schema":"https://github.com/citation-style-language/schema/raw/master/csl-citation.json"}</w:instrText>
      </w:r>
      <w:r w:rsidRPr="00597EAB">
        <w:rPr>
          <w:rFonts w:ascii="Arial" w:hAnsi="Arial" w:cs="Arial"/>
          <w:sz w:val="24"/>
          <w:szCs w:val="24"/>
        </w:rPr>
        <w:fldChar w:fldCharType="separate"/>
      </w:r>
      <w:r w:rsidR="00D15B88" w:rsidRPr="00D15B88">
        <w:rPr>
          <w:rFonts w:ascii="Arial" w:hAnsi="Arial" w:cs="Arial"/>
          <w:noProof/>
          <w:sz w:val="24"/>
          <w:szCs w:val="24"/>
        </w:rPr>
        <w:t>(López, Dzul, Lugo, Arias, &amp; Zavala, 2016)</w:t>
      </w:r>
      <w:r w:rsidRPr="00597EAB">
        <w:rPr>
          <w:rFonts w:ascii="Arial" w:hAnsi="Arial" w:cs="Arial"/>
          <w:sz w:val="24"/>
          <w:szCs w:val="24"/>
        </w:rPr>
        <w:fldChar w:fldCharType="end"/>
      </w:r>
      <w:r w:rsidRPr="00597EAB">
        <w:rPr>
          <w:rFonts w:ascii="Arial" w:hAnsi="Arial" w:cs="Arial"/>
          <w:sz w:val="24"/>
          <w:szCs w:val="24"/>
        </w:rPr>
        <w:t xml:space="preserve">. En México se tiene registrado que el 27.5% de las cepas del género </w:t>
      </w:r>
      <w:r w:rsidRPr="00597EAB">
        <w:rPr>
          <w:rFonts w:ascii="Arial" w:hAnsi="Arial" w:cs="Arial"/>
          <w:i/>
          <w:iCs/>
          <w:sz w:val="24"/>
          <w:szCs w:val="24"/>
        </w:rPr>
        <w:t>Candida spp</w:t>
      </w:r>
      <w:r w:rsidRPr="00597EAB">
        <w:rPr>
          <w:rFonts w:ascii="Arial" w:hAnsi="Arial" w:cs="Arial"/>
          <w:sz w:val="24"/>
          <w:szCs w:val="24"/>
        </w:rPr>
        <w:t xml:space="preserve"> son resistentes a diversos antimicóticos como los azoles y polienos </w:t>
      </w:r>
      <w:r>
        <w:rPr>
          <w:rFonts w:ascii="Arial" w:hAnsi="Arial" w:cs="Arial"/>
          <w:sz w:val="24"/>
          <w:szCs w:val="24"/>
        </w:rPr>
        <w:fldChar w:fldCharType="begin" w:fldLock="1"/>
      </w:r>
      <w:r w:rsidR="003B3055">
        <w:rPr>
          <w:rFonts w:ascii="Arial" w:hAnsi="Arial" w:cs="Arial"/>
          <w:sz w:val="24"/>
          <w:szCs w:val="24"/>
        </w:rPr>
        <w:instrText>ADDIN CSL_CITATION {"citationItems":[{"id":"ITEM-1","itemData":{"ISSN":"0016-3813","abstract":"BACKGROUND: An increase in mycosis associated with therapeutic failure has been observed worldwide. The dearth of data in Mexico led us to study antifungal resistance. MATERIAL AND METHODS: Seventy six isolates of patients from the Hospital de Especialidades, Centro Medico Nacional Siglo XXI, Instituto Mexicano del Seguro Social were included: 36 with dermatophytoses and 40 with candidiasis. Dermatophytes were assesed using the E-test method and Candida spp. using the broth microdilution method. Antifungal drugs included itraconazole, ketoconazole and fluconazole for dermatophytes; in addition, voriconazole and amphotericin B were used to treat yeasts. RESULTS: From the 36 dermatophytes, seven isolates (19.4%) showed resistance to one or more antifungal drugs: three to Trichophyton rubrum, three to T. mentagrophytes and one to T. tonsurans. One T. rubrum isolate was resistant to the three azoles; the other six isolates were resistant to fluconazole only. From the 40 Candida isolates, 11 (27.5%) showed resistance: seven to ketoconazole and itraconazole; three only to itraconazole and one to ketoconazole. One C. glabrata isolate showed resistance to the four azoles. None of the yeasts showed resistance to amphotericin B. CONCLUSION: Therapeutic failure could be caused by drug resistance. In our study we found an antifungal resistance of 20% and 27.5% in dermatophytes and in yeasts respectively.","author":[{"dropping-particle":"","family":"Manzano","given":"Patricia","non-dropping-particle":"","parse-names":false,"suffix":""},{"dropping-particle":"","family":"Méndez","given":"Luis","non-dropping-particle":"","parse-names":false,"suffix":""},{"dropping-particle":"","family":"Hernández","given":"Fransisca","non-dropping-particle":"","parse-names":false,"suffix":""},{"dropping-particle":"","family":"López","given":"Rubén","non-dropping-particle":"","parse-names":false,"suffix":""}],"container-title":"Gaceta Médica México","id":"ITEM-1","issue":"1","issued":{"date-parts":[["2008"]]},"page":"23-26","title":"La resistencia a los antifúngicos: un problema emergente en México.","type":"article-journal","volume":"144"},"uris":["http://www.mendeley.com/documents/?uuid=206b84bf-2714-4544-9361-4562ef1f3181"]}],"mendeley":{"formattedCitation":"(Manzano, Méndez, Hernández, &amp; López, 2008)","plainTextFormattedCitation":"(Manzano, Méndez, Hernández, &amp; López, 2008)","previouslyFormattedCitation":"(Manzano, Méndez, Hernández, &amp; López, 2008)"},"properties":{"noteIndex":0},"schema":"https://github.com/citation-style-language/schema/raw/master/csl-citation.json"}</w:instrText>
      </w:r>
      <w:r>
        <w:rPr>
          <w:rFonts w:ascii="Arial" w:hAnsi="Arial" w:cs="Arial"/>
          <w:sz w:val="24"/>
          <w:szCs w:val="24"/>
        </w:rPr>
        <w:fldChar w:fldCharType="separate"/>
      </w:r>
      <w:r w:rsidR="00D15B88" w:rsidRPr="00D15B88">
        <w:rPr>
          <w:rFonts w:ascii="Arial" w:hAnsi="Arial" w:cs="Arial"/>
          <w:noProof/>
          <w:sz w:val="24"/>
          <w:szCs w:val="24"/>
        </w:rPr>
        <w:t>(Manzano, Méndez, Hernández, &amp; López, 2008)</w:t>
      </w:r>
      <w:r>
        <w:rPr>
          <w:rFonts w:ascii="Arial" w:hAnsi="Arial" w:cs="Arial"/>
          <w:sz w:val="24"/>
          <w:szCs w:val="24"/>
        </w:rPr>
        <w:fldChar w:fldCharType="end"/>
      </w:r>
      <w:r>
        <w:rPr>
          <w:rFonts w:ascii="Arial" w:hAnsi="Arial" w:cs="Arial"/>
          <w:sz w:val="24"/>
          <w:szCs w:val="24"/>
        </w:rPr>
        <w:t>.</w:t>
      </w:r>
      <w:r w:rsidR="00950156">
        <w:rPr>
          <w:rFonts w:ascii="Arial" w:hAnsi="Arial" w:cs="Arial"/>
          <w:sz w:val="24"/>
          <w:szCs w:val="24"/>
        </w:rPr>
        <w:t xml:space="preserve"> </w:t>
      </w:r>
      <w:r w:rsidRPr="00D444B9">
        <w:rPr>
          <w:rFonts w:ascii="Arial" w:hAnsi="Arial" w:cs="Arial"/>
          <w:sz w:val="24"/>
          <w:szCs w:val="24"/>
        </w:rPr>
        <w:t>Los fungicidas a base de cobre se catalogan como de bajo riesgo en la generación de resistencia, ya que atacan a múltiples sitios bioquímicos lo que les confiere un carácter fungicida y bactericida</w:t>
      </w:r>
      <w:bookmarkEnd w:id="1"/>
      <w:r>
        <w:rPr>
          <w:rFonts w:ascii="Arial" w:hAnsi="Arial" w:cs="Arial"/>
          <w:sz w:val="24"/>
          <w:szCs w:val="24"/>
        </w:rPr>
        <w:t xml:space="preserve"> </w:t>
      </w:r>
      <w:r>
        <w:rPr>
          <w:rFonts w:ascii="Arial" w:hAnsi="Arial" w:cs="Arial"/>
          <w:sz w:val="24"/>
          <w:szCs w:val="24"/>
        </w:rPr>
        <w:fldChar w:fldCharType="begin" w:fldLock="1"/>
      </w:r>
      <w:r w:rsidR="003B3055">
        <w:rPr>
          <w:rFonts w:ascii="Arial" w:hAnsi="Arial" w:cs="Arial"/>
          <w:sz w:val="24"/>
          <w:szCs w:val="24"/>
        </w:rPr>
        <w:instrText>ADDIN CSL_CITATION {"citationItems":[{"id":"ITEM-1","itemData":{"abstract":"Most people consider that the disease of the digestive system (gastritis) is due to the wrong diet or irregular eating. To improve the diet requires good knowledge and positive behavior because it will affect how a person takes precautions so that gastritis does not occur. The purpose of this study is to determine the relationship between knowledge about the causes of gastritis with gastritis prevention behavior in undergraduated of Nursing Program University of Muhamadiyah Banjarmasin. Subjects used in this study are students of undergraduated of Nursing Program with sample of 277 respondents taken using accidental sampling techniques and statistical tests using Spearman Rank. The result of this research is there is correlation between knowledge about cause of gastritis with behavior of prevention of gastritis with value P = 0,000 &lt;α 0,05. Based on the results of the study is expected the community and especially students can increase knowledge of the causes of gastritis.","author":[{"dropping-particle":"","family":"Adaskaveg","given":"J","non-dropping-particle":"","parse-names":false,"suffix":""},{"dropping-particle":"","family":"Förster","given":"H","non-dropping-particle":"","parse-names":false,"suffix":""},{"dropping-particle":"","family":"Thompson","given":"D","non-dropping-particle":"","parse-names":false,"suffix":""}],"container-title":"Departament of plant pathology","id":"ITEM-1","issued":{"date-parts":[["2012"]]},"page":"69-73","title":"Resistance management a necessity in fungicide usage","type":"article-journal","volume":"49"},"uris":["http://www.mendeley.com/documents/?uuid=e659e608-c863-45eb-afeb-094ed316e205"]}],"mendeley":{"formattedCitation":"(Adaskaveg et al., 2012)","plainTextFormattedCitation":"(Adaskaveg et al., 2012)","previouslyFormattedCitation":"(Adaskaveg et al., 2012)"},"properties":{"noteIndex":0},"schema":"https://github.com/citation-style-language/schema/raw/master/csl-citation.json"}</w:instrText>
      </w:r>
      <w:r>
        <w:rPr>
          <w:rFonts w:ascii="Arial" w:hAnsi="Arial" w:cs="Arial"/>
          <w:sz w:val="24"/>
          <w:szCs w:val="24"/>
        </w:rPr>
        <w:fldChar w:fldCharType="separate"/>
      </w:r>
      <w:r w:rsidR="00D15B88" w:rsidRPr="00D15B88">
        <w:rPr>
          <w:rFonts w:ascii="Arial" w:hAnsi="Arial" w:cs="Arial"/>
          <w:noProof/>
          <w:sz w:val="24"/>
          <w:szCs w:val="24"/>
        </w:rPr>
        <w:t>(Adaskaveg et al., 2012)</w:t>
      </w:r>
      <w:r>
        <w:rPr>
          <w:rFonts w:ascii="Arial" w:hAnsi="Arial" w:cs="Arial"/>
          <w:sz w:val="24"/>
          <w:szCs w:val="24"/>
        </w:rPr>
        <w:fldChar w:fldCharType="end"/>
      </w:r>
      <w:r>
        <w:rPr>
          <w:rFonts w:ascii="Arial" w:hAnsi="Arial" w:cs="Arial"/>
          <w:sz w:val="24"/>
          <w:szCs w:val="24"/>
        </w:rPr>
        <w:t xml:space="preserve"> </w:t>
      </w:r>
      <w:bookmarkStart w:id="2" w:name="_Hlk17740190"/>
      <w:r w:rsidRPr="00F70178">
        <w:rPr>
          <w:rFonts w:ascii="Arial" w:hAnsi="Arial" w:cs="Arial"/>
          <w:sz w:val="24"/>
          <w:szCs w:val="24"/>
        </w:rPr>
        <w:t>La alúmina es un biocerámico inerte muy empleado debido a que presenta propiedades como: alta estabilidad química y térmica</w:t>
      </w:r>
      <w:r>
        <w:rPr>
          <w:rFonts w:ascii="Arial" w:hAnsi="Arial" w:cs="Arial"/>
          <w:sz w:val="24"/>
          <w:szCs w:val="24"/>
        </w:rPr>
        <w:t xml:space="preserve">, </w:t>
      </w:r>
      <w:r w:rsidRPr="00F70178">
        <w:rPr>
          <w:rFonts w:ascii="Arial" w:hAnsi="Arial" w:cs="Arial"/>
          <w:sz w:val="24"/>
          <w:szCs w:val="24"/>
        </w:rPr>
        <w:t>alta dureza,</w:t>
      </w:r>
      <w:r w:rsidRPr="00525F89">
        <w:rPr>
          <w:rFonts w:ascii="Arial" w:hAnsi="Arial" w:cs="Arial"/>
          <w:sz w:val="24"/>
          <w:szCs w:val="24"/>
        </w:rPr>
        <w:t xml:space="preserve"> </w:t>
      </w:r>
      <w:r>
        <w:rPr>
          <w:rFonts w:ascii="Arial" w:hAnsi="Arial" w:cs="Arial"/>
          <w:sz w:val="24"/>
          <w:szCs w:val="24"/>
        </w:rPr>
        <w:t xml:space="preserve">y </w:t>
      </w:r>
      <w:r w:rsidRPr="00F70178">
        <w:rPr>
          <w:rFonts w:ascii="Arial" w:hAnsi="Arial" w:cs="Arial"/>
          <w:sz w:val="24"/>
          <w:szCs w:val="24"/>
        </w:rPr>
        <w:t>elevada resistencia a la compresión</w:t>
      </w:r>
      <w:bookmarkStart w:id="3" w:name="_Hlk17740466"/>
      <w:bookmarkEnd w:id="2"/>
      <w:r>
        <w:rPr>
          <w:rFonts w:ascii="Arial" w:hAnsi="Arial" w:cs="Arial"/>
          <w:sz w:val="24"/>
          <w:szCs w:val="24"/>
        </w:rPr>
        <w:t xml:space="preserve"> </w:t>
      </w:r>
      <w:r>
        <w:rPr>
          <w:rFonts w:ascii="Arial" w:hAnsi="Arial" w:cs="Arial"/>
          <w:sz w:val="24"/>
          <w:szCs w:val="24"/>
        </w:rPr>
        <w:fldChar w:fldCharType="begin" w:fldLock="1"/>
      </w:r>
      <w:r w:rsidR="003B3055">
        <w:rPr>
          <w:rFonts w:ascii="Arial" w:hAnsi="Arial" w:cs="Arial"/>
          <w:sz w:val="24"/>
          <w:szCs w:val="24"/>
        </w:rPr>
        <w:instrText>ADDIN CSL_CITATION {"citationItems":[{"id":"ITEM-1","itemData":{"author":[{"dropping-particle":"","family":"Calambás","given":"Heidy","non-dropping-particle":"","parse-names":false,"suffix":""}],"id":"ITEM-1","issued":{"date-parts":[["2014"]]},"number-of-pages":"250","publisher":"Universidad Nacional de la Plata","title":"Materiales compuestos de alúmina-zirconia para aplicaciones biomédicas","type":"thesis"},"uris":["http://www.mendeley.com/documents/?uuid=0fce7963-6997-47c3-aafb-9324848de479"]}],"mendeley":{"formattedCitation":"(Calambás, 2014)","plainTextFormattedCitation":"(Calambás, 2014)","previouslyFormattedCitation":"(Calambás, 2014)"},"properties":{"noteIndex":0},"schema":"https://github.com/citation-style-language/schema/raw/master/csl-citation.json"}</w:instrText>
      </w:r>
      <w:r>
        <w:rPr>
          <w:rFonts w:ascii="Arial" w:hAnsi="Arial" w:cs="Arial"/>
          <w:sz w:val="24"/>
          <w:szCs w:val="24"/>
        </w:rPr>
        <w:fldChar w:fldCharType="separate"/>
      </w:r>
      <w:r w:rsidR="00D15B88" w:rsidRPr="00D15B88">
        <w:rPr>
          <w:rFonts w:ascii="Arial" w:hAnsi="Arial" w:cs="Arial"/>
          <w:noProof/>
          <w:sz w:val="24"/>
          <w:szCs w:val="24"/>
        </w:rPr>
        <w:t>(Calambás, 2014)</w:t>
      </w:r>
      <w:r>
        <w:rPr>
          <w:rFonts w:ascii="Arial" w:hAnsi="Arial" w:cs="Arial"/>
          <w:sz w:val="24"/>
          <w:szCs w:val="24"/>
        </w:rPr>
        <w:fldChar w:fldCharType="end"/>
      </w:r>
      <w:r>
        <w:rPr>
          <w:rFonts w:ascii="Arial" w:hAnsi="Arial" w:cs="Arial"/>
          <w:sz w:val="24"/>
          <w:szCs w:val="24"/>
        </w:rPr>
        <w:t xml:space="preserve">. </w:t>
      </w:r>
      <w:bookmarkStart w:id="4" w:name="_Hlk17740670"/>
      <w:bookmarkEnd w:id="3"/>
      <w:r w:rsidR="00950156">
        <w:rPr>
          <w:rFonts w:ascii="Arial" w:hAnsi="Arial" w:cs="Arial"/>
          <w:sz w:val="24"/>
          <w:szCs w:val="24"/>
        </w:rPr>
        <w:t xml:space="preserve"> </w:t>
      </w:r>
      <w:r w:rsidRPr="00F70178">
        <w:rPr>
          <w:rFonts w:ascii="Arial" w:hAnsi="Arial" w:cs="Arial"/>
          <w:sz w:val="24"/>
          <w:szCs w:val="24"/>
        </w:rPr>
        <w:t xml:space="preserve">En </w:t>
      </w:r>
      <w:r>
        <w:rPr>
          <w:rFonts w:ascii="Arial" w:hAnsi="Arial" w:cs="Arial"/>
          <w:sz w:val="24"/>
          <w:szCs w:val="24"/>
        </w:rPr>
        <w:t>la</w:t>
      </w:r>
      <w:r w:rsidRPr="00F70178">
        <w:rPr>
          <w:rFonts w:ascii="Arial" w:hAnsi="Arial" w:cs="Arial"/>
          <w:sz w:val="24"/>
          <w:szCs w:val="24"/>
        </w:rPr>
        <w:t xml:space="preserve"> presente investigación se evaluará el efecto antifúngico </w:t>
      </w:r>
      <w:r>
        <w:rPr>
          <w:rFonts w:ascii="Arial" w:hAnsi="Arial" w:cs="Arial"/>
          <w:sz w:val="24"/>
          <w:szCs w:val="24"/>
        </w:rPr>
        <w:t>de cobre dopando un</w:t>
      </w:r>
      <w:r w:rsidRPr="00F70178">
        <w:rPr>
          <w:rFonts w:ascii="Arial" w:hAnsi="Arial" w:cs="Arial"/>
          <w:sz w:val="24"/>
          <w:szCs w:val="24"/>
        </w:rPr>
        <w:t xml:space="preserve"> material </w:t>
      </w:r>
      <w:r>
        <w:rPr>
          <w:rFonts w:ascii="Arial" w:hAnsi="Arial" w:cs="Arial"/>
          <w:sz w:val="24"/>
          <w:szCs w:val="24"/>
        </w:rPr>
        <w:t xml:space="preserve">esférico </w:t>
      </w:r>
      <w:r w:rsidRPr="00F70178">
        <w:rPr>
          <w:rFonts w:ascii="Arial" w:hAnsi="Arial" w:cs="Arial"/>
          <w:sz w:val="24"/>
          <w:szCs w:val="24"/>
        </w:rPr>
        <w:t xml:space="preserve">sinterizando </w:t>
      </w:r>
      <w:r>
        <w:rPr>
          <w:rFonts w:ascii="Arial" w:hAnsi="Arial" w:cs="Arial"/>
          <w:sz w:val="24"/>
          <w:szCs w:val="24"/>
        </w:rPr>
        <w:t xml:space="preserve">de </w:t>
      </w:r>
      <w:r w:rsidRPr="00F70178">
        <w:rPr>
          <w:rFonts w:ascii="Arial" w:hAnsi="Arial" w:cs="Arial"/>
          <w:sz w:val="24"/>
          <w:szCs w:val="24"/>
        </w:rPr>
        <w:t>alúmina-hidroxiapatita</w:t>
      </w:r>
      <w:r>
        <w:rPr>
          <w:rFonts w:ascii="Arial" w:hAnsi="Arial" w:cs="Arial"/>
          <w:sz w:val="24"/>
          <w:szCs w:val="24"/>
        </w:rPr>
        <w:t>. La</w:t>
      </w:r>
      <w:r w:rsidRPr="00F70178">
        <w:rPr>
          <w:rFonts w:ascii="Arial" w:hAnsi="Arial" w:cs="Arial"/>
          <w:sz w:val="24"/>
          <w:szCs w:val="24"/>
        </w:rPr>
        <w:t xml:space="preserve">s </w:t>
      </w:r>
      <w:r>
        <w:rPr>
          <w:rFonts w:ascii="Arial" w:hAnsi="Arial" w:cs="Arial"/>
          <w:sz w:val="24"/>
          <w:szCs w:val="24"/>
        </w:rPr>
        <w:t xml:space="preserve">esferas de alúmina-hidroxiapatita </w:t>
      </w:r>
      <w:r w:rsidRPr="00F70178">
        <w:rPr>
          <w:rFonts w:ascii="Arial" w:hAnsi="Arial" w:cs="Arial"/>
          <w:sz w:val="24"/>
          <w:szCs w:val="24"/>
        </w:rPr>
        <w:t xml:space="preserve">actuarán como matriz debido a su dureza y </w:t>
      </w:r>
      <w:r>
        <w:rPr>
          <w:rFonts w:ascii="Arial" w:hAnsi="Arial" w:cs="Arial"/>
          <w:sz w:val="24"/>
          <w:szCs w:val="24"/>
        </w:rPr>
        <w:t xml:space="preserve">biocompatibilidad, además, </w:t>
      </w:r>
      <w:r w:rsidRPr="00F70178">
        <w:rPr>
          <w:rFonts w:ascii="Arial" w:hAnsi="Arial" w:cs="Arial"/>
          <w:sz w:val="24"/>
          <w:szCs w:val="24"/>
        </w:rPr>
        <w:t xml:space="preserve">servirán </w:t>
      </w:r>
      <w:r>
        <w:rPr>
          <w:rFonts w:ascii="Arial" w:hAnsi="Arial" w:cs="Arial"/>
          <w:sz w:val="24"/>
          <w:szCs w:val="24"/>
        </w:rPr>
        <w:t xml:space="preserve">como </w:t>
      </w:r>
      <w:r w:rsidRPr="00F70178">
        <w:rPr>
          <w:rFonts w:ascii="Arial" w:hAnsi="Arial" w:cs="Arial"/>
          <w:sz w:val="24"/>
          <w:szCs w:val="24"/>
        </w:rPr>
        <w:t>soporte</w:t>
      </w:r>
      <w:r>
        <w:rPr>
          <w:rFonts w:ascii="Arial" w:hAnsi="Arial" w:cs="Arial"/>
          <w:sz w:val="24"/>
          <w:szCs w:val="24"/>
        </w:rPr>
        <w:t xml:space="preserve"> adsorbente y liberador de</w:t>
      </w:r>
      <w:r w:rsidRPr="00F70178">
        <w:rPr>
          <w:rFonts w:ascii="Arial" w:hAnsi="Arial" w:cs="Arial"/>
          <w:sz w:val="24"/>
          <w:szCs w:val="24"/>
        </w:rPr>
        <w:t xml:space="preserve"> iones de cobre para brindar la actividad antifúngica. </w:t>
      </w:r>
    </w:p>
    <w:p w14:paraId="580A92D8" w14:textId="77777777" w:rsidR="00CE1B0A" w:rsidRPr="00CE1B0A" w:rsidRDefault="00CE1B0A" w:rsidP="00CE1B0A">
      <w:pPr>
        <w:widowControl w:val="0"/>
        <w:autoSpaceDE w:val="0"/>
        <w:autoSpaceDN w:val="0"/>
        <w:adjustRightInd w:val="0"/>
        <w:spacing w:line="360" w:lineRule="auto"/>
        <w:rPr>
          <w:rFonts w:ascii="Arial" w:hAnsi="Arial" w:cs="Arial"/>
          <w:b/>
          <w:bCs/>
          <w:sz w:val="24"/>
          <w:szCs w:val="24"/>
        </w:rPr>
      </w:pPr>
      <w:r w:rsidRPr="00CE1B0A">
        <w:rPr>
          <w:rFonts w:ascii="Arial" w:hAnsi="Arial" w:cs="Arial"/>
          <w:b/>
          <w:bCs/>
          <w:sz w:val="24"/>
          <w:szCs w:val="24"/>
        </w:rPr>
        <w:t>Justificación</w:t>
      </w:r>
    </w:p>
    <w:p w14:paraId="57B24118" w14:textId="5B8FC9E8" w:rsidR="00CE1B0A" w:rsidRPr="00C52685" w:rsidRDefault="00CE1B0A" w:rsidP="00CE1B0A">
      <w:pPr>
        <w:spacing w:line="360" w:lineRule="auto"/>
        <w:jc w:val="both"/>
        <w:rPr>
          <w:rFonts w:ascii="Arial" w:hAnsi="Arial" w:cs="Arial"/>
          <w:sz w:val="24"/>
          <w:szCs w:val="24"/>
        </w:rPr>
      </w:pPr>
      <w:r>
        <w:rPr>
          <w:rFonts w:ascii="Arial" w:hAnsi="Arial" w:cs="Arial"/>
          <w:sz w:val="24"/>
          <w:szCs w:val="24"/>
        </w:rPr>
        <w:t>L</w:t>
      </w:r>
      <w:r w:rsidRPr="00C52685">
        <w:rPr>
          <w:rFonts w:ascii="Arial" w:hAnsi="Arial" w:cs="Arial"/>
          <w:sz w:val="24"/>
          <w:szCs w:val="24"/>
        </w:rPr>
        <w:t xml:space="preserve">a resistencia </w:t>
      </w:r>
      <w:r>
        <w:rPr>
          <w:rFonts w:ascii="Arial" w:hAnsi="Arial" w:cs="Arial"/>
          <w:sz w:val="24"/>
          <w:szCs w:val="24"/>
        </w:rPr>
        <w:t xml:space="preserve">a antibióticos </w:t>
      </w:r>
      <w:r w:rsidRPr="00C52685">
        <w:rPr>
          <w:rFonts w:ascii="Arial" w:hAnsi="Arial" w:cs="Arial"/>
          <w:sz w:val="24"/>
          <w:szCs w:val="24"/>
        </w:rPr>
        <w:t xml:space="preserve">se encuentra </w:t>
      </w:r>
      <w:r>
        <w:rPr>
          <w:rFonts w:ascii="Arial" w:hAnsi="Arial" w:cs="Arial"/>
          <w:sz w:val="24"/>
          <w:szCs w:val="24"/>
        </w:rPr>
        <w:t>estrechamente relacionada c</w:t>
      </w:r>
      <w:r w:rsidRPr="00C52685">
        <w:rPr>
          <w:rFonts w:ascii="Arial" w:hAnsi="Arial" w:cs="Arial"/>
          <w:sz w:val="24"/>
          <w:szCs w:val="24"/>
        </w:rPr>
        <w:t xml:space="preserve">on </w:t>
      </w:r>
      <w:r>
        <w:rPr>
          <w:rFonts w:ascii="Arial" w:hAnsi="Arial" w:cs="Arial"/>
          <w:sz w:val="24"/>
          <w:szCs w:val="24"/>
        </w:rPr>
        <w:t xml:space="preserve">el uso </w:t>
      </w:r>
      <w:r w:rsidRPr="00C52685">
        <w:rPr>
          <w:rFonts w:ascii="Arial" w:hAnsi="Arial" w:cs="Arial"/>
          <w:sz w:val="24"/>
          <w:szCs w:val="24"/>
        </w:rPr>
        <w:t>innecesario</w:t>
      </w:r>
      <w:r>
        <w:rPr>
          <w:rFonts w:ascii="Arial" w:hAnsi="Arial" w:cs="Arial"/>
          <w:sz w:val="24"/>
          <w:szCs w:val="24"/>
        </w:rPr>
        <w:t xml:space="preserve"> o excesivo</w:t>
      </w:r>
      <w:r w:rsidRPr="00C52685">
        <w:rPr>
          <w:rFonts w:ascii="Arial" w:hAnsi="Arial" w:cs="Arial"/>
          <w:sz w:val="24"/>
          <w:szCs w:val="24"/>
        </w:rPr>
        <w:t xml:space="preserve"> de antibióticos, </w:t>
      </w:r>
      <w:r>
        <w:rPr>
          <w:rFonts w:ascii="Arial" w:hAnsi="Arial" w:cs="Arial"/>
          <w:sz w:val="24"/>
          <w:szCs w:val="24"/>
        </w:rPr>
        <w:t xml:space="preserve">ocasionando </w:t>
      </w:r>
      <w:r w:rsidRPr="00C52685">
        <w:rPr>
          <w:rFonts w:ascii="Arial" w:hAnsi="Arial" w:cs="Arial"/>
          <w:sz w:val="24"/>
          <w:szCs w:val="24"/>
        </w:rPr>
        <w:t xml:space="preserve">de manera excesiva a la evolución de la resistencia, </w:t>
      </w:r>
      <w:r>
        <w:rPr>
          <w:rFonts w:ascii="Arial" w:hAnsi="Arial" w:cs="Arial"/>
          <w:sz w:val="24"/>
          <w:szCs w:val="24"/>
        </w:rPr>
        <w:t xml:space="preserve">se ha corroborado mediante </w:t>
      </w:r>
      <w:r w:rsidRPr="00C52685">
        <w:rPr>
          <w:rFonts w:ascii="Arial" w:hAnsi="Arial" w:cs="Arial"/>
          <w:sz w:val="24"/>
          <w:szCs w:val="24"/>
        </w:rPr>
        <w:t xml:space="preserve">datos epidemiológicos que existe una relación </w:t>
      </w:r>
      <w:r>
        <w:rPr>
          <w:rFonts w:ascii="Arial" w:hAnsi="Arial" w:cs="Arial"/>
          <w:sz w:val="24"/>
          <w:szCs w:val="24"/>
        </w:rPr>
        <w:t xml:space="preserve">directa </w:t>
      </w:r>
      <w:r w:rsidRPr="00C52685">
        <w:rPr>
          <w:rFonts w:ascii="Arial" w:hAnsi="Arial" w:cs="Arial"/>
          <w:sz w:val="24"/>
          <w:szCs w:val="24"/>
        </w:rPr>
        <w:t xml:space="preserve">entre el uso de antibióticos </w:t>
      </w:r>
      <w:r>
        <w:rPr>
          <w:rFonts w:ascii="Arial" w:hAnsi="Arial" w:cs="Arial"/>
          <w:sz w:val="24"/>
          <w:szCs w:val="24"/>
        </w:rPr>
        <w:t xml:space="preserve">y la aparición de </w:t>
      </w:r>
      <w:r>
        <w:rPr>
          <w:rFonts w:ascii="Arial" w:hAnsi="Arial" w:cs="Arial"/>
          <w:sz w:val="24"/>
          <w:szCs w:val="24"/>
        </w:rPr>
        <w:lastRenderedPageBreak/>
        <w:t xml:space="preserve">microorganismos </w:t>
      </w:r>
      <w:r w:rsidRPr="00C52685">
        <w:rPr>
          <w:rFonts w:ascii="Arial" w:hAnsi="Arial" w:cs="Arial"/>
          <w:sz w:val="24"/>
          <w:szCs w:val="24"/>
        </w:rPr>
        <w:t>resistentes</w:t>
      </w:r>
      <w:r>
        <w:rPr>
          <w:rFonts w:ascii="Arial" w:hAnsi="Arial" w:cs="Arial"/>
          <w:sz w:val="24"/>
          <w:szCs w:val="24"/>
        </w:rPr>
        <w:t xml:space="preserve"> (</w:t>
      </w:r>
      <w:r w:rsidRPr="00C52685">
        <w:rPr>
          <w:rFonts w:ascii="Arial" w:hAnsi="Arial" w:cs="Arial"/>
          <w:sz w:val="24"/>
          <w:szCs w:val="24"/>
        </w:rPr>
        <w:t>Ventola, 2015).</w:t>
      </w:r>
      <w:r>
        <w:rPr>
          <w:rFonts w:ascii="Arial" w:hAnsi="Arial" w:cs="Arial"/>
          <w:sz w:val="24"/>
          <w:szCs w:val="24"/>
        </w:rPr>
        <w:t xml:space="preserve"> Por ello busca</w:t>
      </w:r>
      <w:r w:rsidR="00313A21">
        <w:rPr>
          <w:rFonts w:ascii="Arial" w:hAnsi="Arial" w:cs="Arial"/>
          <w:sz w:val="24"/>
          <w:szCs w:val="24"/>
        </w:rPr>
        <w:t>r</w:t>
      </w:r>
      <w:r>
        <w:rPr>
          <w:rFonts w:ascii="Arial" w:hAnsi="Arial" w:cs="Arial"/>
          <w:sz w:val="24"/>
          <w:szCs w:val="24"/>
        </w:rPr>
        <w:t xml:space="preserve"> obtener un material cerámico con propiedades de estabilidad química y de dureza como la alúmina, de adsorción por la hidroxiapatita aunado a las características antimicrobianas del cobre, como una buena alternativa para el uso de fungicidas con una tasa baja de resistencia.</w:t>
      </w:r>
    </w:p>
    <w:p w14:paraId="053FB35C" w14:textId="77777777" w:rsidR="004F1355" w:rsidRDefault="004F1355" w:rsidP="00D444B9">
      <w:pPr>
        <w:spacing w:line="360" w:lineRule="auto"/>
        <w:jc w:val="both"/>
        <w:rPr>
          <w:rFonts w:ascii="Arial" w:hAnsi="Arial" w:cs="Arial"/>
          <w:b/>
          <w:bCs/>
          <w:sz w:val="24"/>
          <w:szCs w:val="24"/>
        </w:rPr>
      </w:pPr>
      <w:r>
        <w:rPr>
          <w:rFonts w:ascii="Arial" w:hAnsi="Arial" w:cs="Arial"/>
          <w:b/>
          <w:bCs/>
          <w:sz w:val="24"/>
          <w:szCs w:val="24"/>
        </w:rPr>
        <w:t>Materiales y métodos</w:t>
      </w:r>
    </w:p>
    <w:p w14:paraId="1332309C" w14:textId="1B2EEAA6" w:rsidR="00E14856" w:rsidRDefault="004F1355" w:rsidP="00120AF3">
      <w:pPr>
        <w:tabs>
          <w:tab w:val="left" w:pos="3834"/>
        </w:tabs>
        <w:spacing w:line="360" w:lineRule="auto"/>
        <w:jc w:val="both"/>
        <w:rPr>
          <w:rFonts w:ascii="Arial" w:hAnsi="Arial"/>
          <w:sz w:val="24"/>
          <w:szCs w:val="24"/>
        </w:rPr>
      </w:pPr>
      <w:r w:rsidRPr="004F1355">
        <w:rPr>
          <w:rFonts w:ascii="Arial" w:hAnsi="Arial" w:cs="Arial"/>
          <w:sz w:val="24"/>
          <w:szCs w:val="24"/>
        </w:rPr>
        <w:t>Para la obtención de las esferas se utiliz</w:t>
      </w:r>
      <w:r w:rsidR="00030141">
        <w:rPr>
          <w:rFonts w:ascii="Arial" w:hAnsi="Arial" w:cs="Arial"/>
          <w:sz w:val="24"/>
          <w:szCs w:val="24"/>
        </w:rPr>
        <w:t>a</w:t>
      </w:r>
      <w:r w:rsidRPr="004F1355">
        <w:rPr>
          <w:rFonts w:ascii="Arial" w:hAnsi="Arial" w:cs="Arial"/>
          <w:sz w:val="24"/>
          <w:szCs w:val="24"/>
        </w:rPr>
        <w:t xml:space="preserve"> una mezcla de </w:t>
      </w:r>
      <w:r w:rsidR="003B3055" w:rsidRPr="004F1355">
        <w:rPr>
          <w:rFonts w:ascii="Arial" w:hAnsi="Arial" w:cs="Arial"/>
          <w:sz w:val="24"/>
          <w:szCs w:val="24"/>
        </w:rPr>
        <w:t xml:space="preserve">alúmina, </w:t>
      </w:r>
      <w:r w:rsidRPr="004F1355">
        <w:rPr>
          <w:rFonts w:ascii="Arial" w:hAnsi="Arial" w:cs="Arial"/>
          <w:sz w:val="24"/>
          <w:szCs w:val="24"/>
        </w:rPr>
        <w:t>PVA, alginato de sodio</w:t>
      </w:r>
      <w:r w:rsidR="003B3055">
        <w:rPr>
          <w:rFonts w:ascii="Arial" w:hAnsi="Arial" w:cs="Arial"/>
          <w:sz w:val="24"/>
          <w:szCs w:val="24"/>
        </w:rPr>
        <w:t xml:space="preserve"> </w:t>
      </w:r>
      <w:r w:rsidRPr="004F1355">
        <w:rPr>
          <w:rFonts w:ascii="Arial" w:hAnsi="Arial" w:cs="Arial"/>
          <w:sz w:val="24"/>
          <w:szCs w:val="24"/>
        </w:rPr>
        <w:t xml:space="preserve">y </w:t>
      </w:r>
      <w:bookmarkStart w:id="5" w:name="_GoBack"/>
      <w:r w:rsidRPr="004F1355">
        <w:rPr>
          <w:rFonts w:ascii="Arial" w:hAnsi="Arial" w:cs="Arial"/>
          <w:sz w:val="24"/>
          <w:szCs w:val="24"/>
        </w:rPr>
        <w:t>ag</w:t>
      </w:r>
      <w:bookmarkEnd w:id="5"/>
      <w:r w:rsidRPr="004F1355">
        <w:rPr>
          <w:rFonts w:ascii="Arial" w:hAnsi="Arial" w:cs="Arial"/>
          <w:sz w:val="24"/>
          <w:szCs w:val="24"/>
        </w:rPr>
        <w:t>ua desionizada</w:t>
      </w:r>
      <w:r w:rsidR="003B3055">
        <w:rPr>
          <w:rFonts w:ascii="Arial" w:hAnsi="Arial" w:cs="Arial"/>
          <w:sz w:val="24"/>
          <w:szCs w:val="24"/>
        </w:rPr>
        <w:t>, p</w:t>
      </w:r>
      <w:r w:rsidR="00030141">
        <w:rPr>
          <w:rFonts w:ascii="Arial" w:hAnsi="Arial" w:cs="Arial"/>
          <w:sz w:val="24"/>
          <w:szCs w:val="24"/>
        </w:rPr>
        <w:t>osteriormente se sumergen a una solución</w:t>
      </w:r>
      <w:r>
        <w:rPr>
          <w:rFonts w:ascii="Arial" w:hAnsi="Arial" w:cs="Arial"/>
          <w:sz w:val="24"/>
          <w:szCs w:val="24"/>
        </w:rPr>
        <w:t xml:space="preserve"> </w:t>
      </w:r>
      <w:r w:rsidR="00030141">
        <w:rPr>
          <w:rFonts w:ascii="Arial" w:hAnsi="Arial" w:cs="Arial"/>
          <w:sz w:val="24"/>
          <w:szCs w:val="24"/>
        </w:rPr>
        <w:t>d</w:t>
      </w:r>
      <w:r>
        <w:rPr>
          <w:rFonts w:ascii="Arial" w:hAnsi="Arial" w:cs="Arial"/>
          <w:sz w:val="24"/>
          <w:szCs w:val="24"/>
        </w:rPr>
        <w:t xml:space="preserve">e </w:t>
      </w:r>
      <w:r w:rsidR="003B3055">
        <w:rPr>
          <w:rFonts w:ascii="Arial" w:hAnsi="Arial" w:cs="Arial"/>
          <w:sz w:val="24"/>
          <w:szCs w:val="24"/>
        </w:rPr>
        <w:t>cloruro de bario</w:t>
      </w:r>
      <w:r>
        <w:rPr>
          <w:rFonts w:ascii="Arial" w:hAnsi="Arial" w:cs="Arial"/>
          <w:sz w:val="24"/>
          <w:szCs w:val="24"/>
        </w:rPr>
        <w:t xml:space="preserve"> </w:t>
      </w:r>
      <w:r w:rsidR="00030141">
        <w:rPr>
          <w:rFonts w:ascii="Arial" w:hAnsi="Arial" w:cs="Arial"/>
          <w:sz w:val="24"/>
          <w:szCs w:val="24"/>
        </w:rPr>
        <w:t>para inducir la gelificación y finalmente se someten a un tratamiento térmico para densificar el material</w:t>
      </w:r>
      <w:r w:rsidR="001663BF">
        <w:rPr>
          <w:rFonts w:ascii="Arial" w:hAnsi="Arial" w:cs="Arial"/>
          <w:sz w:val="24"/>
          <w:szCs w:val="24"/>
        </w:rPr>
        <w:t xml:space="preserve">. </w:t>
      </w:r>
      <w:r w:rsidR="00030141">
        <w:rPr>
          <w:rFonts w:ascii="Arial" w:hAnsi="Arial" w:cs="Arial"/>
          <w:sz w:val="24"/>
          <w:szCs w:val="24"/>
        </w:rPr>
        <w:t>Para la síntesis de hidroxiapatita se utiliza nitrato de calcio tetrahidratado, trietilfosfito y etanol. Para el revestimiento de las esferas de alúmina se sumergen en la hidroxiapatita y finalmente para llevar a cabo el dopaje de las esferas de alúmina-hidroxiapatita son sumergidas en soluciones de nitrato de cobre a las concentraciones de 25mM, 50mM, 100mM, 200m</w:t>
      </w:r>
      <w:r w:rsidR="001663BF">
        <w:rPr>
          <w:rFonts w:ascii="Arial" w:hAnsi="Arial" w:cs="Arial"/>
          <w:sz w:val="24"/>
          <w:szCs w:val="24"/>
        </w:rPr>
        <w:t>M.</w:t>
      </w:r>
      <w:r w:rsidR="003B3055">
        <w:rPr>
          <w:rFonts w:ascii="Arial" w:hAnsi="Arial" w:cs="Arial"/>
          <w:sz w:val="24"/>
          <w:szCs w:val="24"/>
        </w:rPr>
        <w:t xml:space="preserve"> Las esferas se dejan secar a </w:t>
      </w:r>
      <w:r w:rsidR="003F1854">
        <w:rPr>
          <w:rFonts w:ascii="Arial" w:hAnsi="Arial" w:cs="Arial"/>
          <w:sz w:val="24"/>
          <w:szCs w:val="24"/>
        </w:rPr>
        <w:t>2</w:t>
      </w:r>
      <w:r w:rsidR="003B3055">
        <w:rPr>
          <w:rFonts w:ascii="Arial" w:hAnsi="Arial" w:cs="Arial"/>
          <w:sz w:val="24"/>
          <w:szCs w:val="24"/>
        </w:rPr>
        <w:t>00°C para su respectiva caracterización.</w:t>
      </w:r>
      <w:r w:rsidR="00120AF3">
        <w:rPr>
          <w:rFonts w:ascii="Arial" w:hAnsi="Arial" w:cs="Arial"/>
          <w:sz w:val="24"/>
          <w:szCs w:val="24"/>
        </w:rPr>
        <w:t xml:space="preserve"> </w:t>
      </w:r>
      <w:r w:rsidR="00120AF3" w:rsidRPr="008A7CC9">
        <w:rPr>
          <w:rFonts w:ascii="Arial" w:hAnsi="Arial" w:cs="Arial"/>
          <w:sz w:val="24"/>
          <w:szCs w:val="24"/>
        </w:rPr>
        <w:t xml:space="preserve">Para determinar la actividad antifúngica, se emplearon cuatro especies de hongos levaduriformes obtenidas </w:t>
      </w:r>
      <w:r w:rsidR="00120AF3" w:rsidRPr="008A7CC9">
        <w:rPr>
          <w:rFonts w:ascii="Arial" w:hAnsi="Arial"/>
          <w:sz w:val="24"/>
          <w:szCs w:val="24"/>
        </w:rPr>
        <w:t>del ATCC,</w:t>
      </w:r>
      <w:r w:rsidR="00120AF3" w:rsidRPr="008A7CC9">
        <w:rPr>
          <w:rFonts w:ascii="Arial" w:hAnsi="Arial" w:cs="Arial"/>
          <w:i/>
          <w:sz w:val="24"/>
          <w:szCs w:val="24"/>
        </w:rPr>
        <w:t xml:space="preserve"> Candida albicans, Candida glabrata, Candida tropicalis y Candida dubliniensis</w:t>
      </w:r>
      <w:r w:rsidR="00120AF3">
        <w:rPr>
          <w:rFonts w:ascii="Arial" w:hAnsi="Arial" w:cs="Arial"/>
          <w:i/>
          <w:sz w:val="24"/>
          <w:szCs w:val="24"/>
        </w:rPr>
        <w:t xml:space="preserve"> </w:t>
      </w:r>
      <w:r w:rsidR="00120AF3">
        <w:rPr>
          <w:rFonts w:ascii="Arial" w:hAnsi="Arial" w:cs="Arial"/>
          <w:iCs/>
          <w:sz w:val="24"/>
          <w:szCs w:val="24"/>
        </w:rPr>
        <w:t>al momento de hacer los ensayos</w:t>
      </w:r>
      <w:r w:rsidR="00120AF3">
        <w:rPr>
          <w:rFonts w:ascii="Arial" w:hAnsi="Arial" w:cs="Arial"/>
          <w:i/>
          <w:sz w:val="24"/>
          <w:szCs w:val="24"/>
        </w:rPr>
        <w:t xml:space="preserve"> </w:t>
      </w:r>
      <w:r w:rsidR="00120AF3" w:rsidRPr="008A7CC9">
        <w:rPr>
          <w:rFonts w:ascii="Arial" w:hAnsi="Arial"/>
          <w:sz w:val="24"/>
          <w:szCs w:val="24"/>
        </w:rPr>
        <w:t>el inóculo</w:t>
      </w:r>
      <w:r w:rsidR="00120AF3">
        <w:rPr>
          <w:rFonts w:ascii="Arial" w:hAnsi="Arial"/>
          <w:sz w:val="24"/>
          <w:szCs w:val="24"/>
        </w:rPr>
        <w:t xml:space="preserve"> </w:t>
      </w:r>
      <w:r w:rsidR="00120AF3" w:rsidRPr="008A7CC9">
        <w:rPr>
          <w:rFonts w:ascii="Arial" w:hAnsi="Arial"/>
          <w:sz w:val="24"/>
          <w:szCs w:val="24"/>
        </w:rPr>
        <w:t xml:space="preserve">se estandarizó </w:t>
      </w:r>
      <w:r w:rsidR="00120AF3">
        <w:rPr>
          <w:rFonts w:ascii="Arial" w:hAnsi="Arial"/>
          <w:sz w:val="24"/>
          <w:szCs w:val="24"/>
        </w:rPr>
        <w:t>por densidad óptica a</w:t>
      </w:r>
      <w:r w:rsidR="00120AF3" w:rsidRPr="008A7CC9">
        <w:rPr>
          <w:rFonts w:ascii="Arial" w:hAnsi="Arial"/>
          <w:sz w:val="24"/>
          <w:szCs w:val="24"/>
        </w:rPr>
        <w:t xml:space="preserve"> 0.5 de McFarland</w:t>
      </w:r>
      <w:r w:rsidR="00120AF3">
        <w:rPr>
          <w:rFonts w:ascii="Arial" w:hAnsi="Arial"/>
          <w:sz w:val="24"/>
          <w:szCs w:val="24"/>
        </w:rPr>
        <w:t xml:space="preserve"> Standard. Se analizó el efecto antifúngico por turbidimetría utilizando una microplaca de 96 pocillos, donde se agregó el inóculo junto con las esferas alúmina-HA-</w:t>
      </w:r>
      <w:r w:rsidR="00570166">
        <w:rPr>
          <w:rFonts w:ascii="Arial" w:hAnsi="Arial"/>
          <w:sz w:val="24"/>
          <w:szCs w:val="24"/>
        </w:rPr>
        <w:t>Cu</w:t>
      </w:r>
      <w:r w:rsidR="00120AF3">
        <w:rPr>
          <w:rFonts w:ascii="Arial" w:hAnsi="Arial"/>
          <w:sz w:val="24"/>
          <w:szCs w:val="24"/>
        </w:rPr>
        <w:t xml:space="preserve"> y se llevaron a incubar a 37</w:t>
      </w:r>
      <w:r w:rsidR="00120AF3">
        <w:rPr>
          <w:rFonts w:ascii="Arial" w:hAnsi="Arial" w:cs="Arial"/>
          <w:sz w:val="24"/>
          <w:szCs w:val="24"/>
        </w:rPr>
        <w:t>°</w:t>
      </w:r>
      <w:r w:rsidR="00120AF3">
        <w:rPr>
          <w:rFonts w:ascii="Arial" w:hAnsi="Arial"/>
          <w:sz w:val="24"/>
          <w:szCs w:val="24"/>
        </w:rPr>
        <w:t xml:space="preserve">C por 24h para después analizar las absorbancias en un </w:t>
      </w:r>
      <w:r w:rsidR="00120AF3" w:rsidRPr="00B839C2">
        <w:rPr>
          <w:rFonts w:ascii="Arial" w:hAnsi="Arial"/>
          <w:sz w:val="24"/>
          <w:szCs w:val="24"/>
        </w:rPr>
        <w:t>espectrofotómetro automatizado lector de microplacas</w:t>
      </w:r>
      <w:r w:rsidR="0049626A">
        <w:rPr>
          <w:rFonts w:ascii="Arial" w:hAnsi="Arial"/>
          <w:sz w:val="24"/>
          <w:szCs w:val="24"/>
        </w:rPr>
        <w:t xml:space="preserve"> como se muestra en la figura 1</w:t>
      </w:r>
      <w:r w:rsidR="00120AF3">
        <w:rPr>
          <w:rFonts w:ascii="Arial" w:hAnsi="Arial"/>
          <w:sz w:val="24"/>
          <w:szCs w:val="24"/>
        </w:rPr>
        <w:t>.</w:t>
      </w:r>
    </w:p>
    <w:p w14:paraId="4881BAA0" w14:textId="32CCD314" w:rsidR="0049626A" w:rsidRDefault="0049626A" w:rsidP="0049626A">
      <w:pPr>
        <w:tabs>
          <w:tab w:val="left" w:pos="3834"/>
        </w:tabs>
        <w:spacing w:line="360" w:lineRule="auto"/>
        <w:jc w:val="center"/>
        <w:rPr>
          <w:rFonts w:ascii="Arial" w:hAnsi="Arial" w:cs="Arial"/>
          <w:b/>
          <w:bCs/>
          <w:sz w:val="24"/>
          <w:szCs w:val="24"/>
        </w:rPr>
      </w:pPr>
      <w:r>
        <w:rPr>
          <w:noProof/>
        </w:rPr>
        <w:lastRenderedPageBreak/>
        <w:drawing>
          <wp:inline distT="0" distB="0" distL="0" distR="0" wp14:anchorId="5E597E62" wp14:editId="77BEFAC6">
            <wp:extent cx="5905500" cy="3364957"/>
            <wp:effectExtent l="0" t="0" r="0" b="698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8669" t="17810" r="21759" b="21815"/>
                    <a:stretch/>
                  </pic:blipFill>
                  <pic:spPr bwMode="auto">
                    <a:xfrm>
                      <a:off x="0" y="0"/>
                      <a:ext cx="5960728" cy="3396426"/>
                    </a:xfrm>
                    <a:prstGeom prst="rect">
                      <a:avLst/>
                    </a:prstGeom>
                    <a:ln>
                      <a:noFill/>
                    </a:ln>
                    <a:extLst>
                      <a:ext uri="{53640926-AAD7-44D8-BBD7-CCE9431645EC}">
                        <a14:shadowObscured xmlns:a14="http://schemas.microsoft.com/office/drawing/2010/main"/>
                      </a:ext>
                    </a:extLst>
                  </pic:spPr>
                </pic:pic>
              </a:graphicData>
            </a:graphic>
          </wp:inline>
        </w:drawing>
      </w:r>
    </w:p>
    <w:p w14:paraId="6EF56631" w14:textId="606EFC56" w:rsidR="0049626A" w:rsidRPr="00344F30" w:rsidRDefault="0049626A" w:rsidP="0049626A">
      <w:pPr>
        <w:pStyle w:val="Descripcin"/>
        <w:ind w:left="90" w:right="96"/>
        <w:rPr>
          <w:szCs w:val="24"/>
          <w:lang w:val="es-ES_tradnl"/>
        </w:rPr>
      </w:pPr>
      <w:r w:rsidRPr="0049626A">
        <w:rPr>
          <w:rFonts w:cs="Arial"/>
          <w:b/>
          <w:bCs/>
          <w:szCs w:val="20"/>
        </w:rPr>
        <w:t>Figura 1.</w:t>
      </w:r>
      <w:r>
        <w:rPr>
          <w:rFonts w:cs="Arial"/>
          <w:b/>
          <w:bCs/>
          <w:szCs w:val="20"/>
        </w:rPr>
        <w:t xml:space="preserve"> </w:t>
      </w:r>
      <w:r w:rsidRPr="00A102FD">
        <w:rPr>
          <w:rFonts w:cs="Arial"/>
          <w:lang w:val="es-ES_tradnl"/>
        </w:rPr>
        <w:t xml:space="preserve">Inoculación de las especies de hongos en el ensayo de </w:t>
      </w:r>
      <w:proofErr w:type="spellStart"/>
      <w:r w:rsidRPr="00A102FD">
        <w:rPr>
          <w:rFonts w:cs="Arial"/>
          <w:lang w:val="es-ES_tradnl"/>
        </w:rPr>
        <w:t>dilucin</w:t>
      </w:r>
      <w:proofErr w:type="spellEnd"/>
      <w:r w:rsidRPr="00A102FD">
        <w:rPr>
          <w:rFonts w:cs="Arial"/>
          <w:lang w:val="es-ES_tradnl"/>
        </w:rPr>
        <w:t xml:space="preserve"> en microplaca</w:t>
      </w:r>
      <w:r>
        <w:rPr>
          <w:rFonts w:cs="Arial"/>
          <w:lang w:val="es-ES_tradnl"/>
        </w:rPr>
        <w:t xml:space="preserve"> con las esferas de alúmina-hidroxiapatita-</w:t>
      </w:r>
      <w:proofErr w:type="gramStart"/>
      <w:r>
        <w:rPr>
          <w:rFonts w:cs="Arial"/>
          <w:lang w:val="es-ES_tradnl"/>
        </w:rPr>
        <w:t>cobre.</w:t>
      </w:r>
      <w:r>
        <w:rPr>
          <w:szCs w:val="24"/>
          <w:lang w:val="es-ES_tradnl"/>
        </w:rPr>
        <w:t>.</w:t>
      </w:r>
      <w:proofErr w:type="gramEnd"/>
      <w:r>
        <w:rPr>
          <w:szCs w:val="24"/>
          <w:lang w:val="es-ES_tradnl"/>
        </w:rPr>
        <w:t xml:space="preserve"> </w:t>
      </w:r>
    </w:p>
    <w:p w14:paraId="2E66A712" w14:textId="699BA5BD" w:rsidR="00E14856" w:rsidRDefault="00D6557E" w:rsidP="00D444B9">
      <w:pPr>
        <w:spacing w:line="360" w:lineRule="auto"/>
        <w:jc w:val="both"/>
        <w:rPr>
          <w:rFonts w:ascii="Arial" w:hAnsi="Arial" w:cs="Arial"/>
          <w:b/>
          <w:bCs/>
          <w:sz w:val="24"/>
          <w:szCs w:val="24"/>
        </w:rPr>
      </w:pPr>
      <w:r>
        <w:rPr>
          <w:rFonts w:ascii="Arial" w:hAnsi="Arial" w:cs="Arial"/>
          <w:b/>
          <w:bCs/>
          <w:sz w:val="24"/>
          <w:szCs w:val="24"/>
        </w:rPr>
        <w:t xml:space="preserve">Resultados y </w:t>
      </w:r>
      <w:r w:rsidR="00E14856">
        <w:rPr>
          <w:rFonts w:ascii="Arial" w:hAnsi="Arial" w:cs="Arial"/>
          <w:b/>
          <w:bCs/>
          <w:sz w:val="24"/>
          <w:szCs w:val="24"/>
        </w:rPr>
        <w:t>D</w:t>
      </w:r>
      <w:r>
        <w:rPr>
          <w:rFonts w:ascii="Arial" w:hAnsi="Arial" w:cs="Arial"/>
          <w:b/>
          <w:bCs/>
          <w:sz w:val="24"/>
          <w:szCs w:val="24"/>
        </w:rPr>
        <w:t>iscusión</w:t>
      </w:r>
      <w:r w:rsidR="00E14856">
        <w:rPr>
          <w:rFonts w:ascii="Arial" w:hAnsi="Arial" w:cs="Arial"/>
          <w:b/>
          <w:bCs/>
          <w:sz w:val="24"/>
          <w:szCs w:val="24"/>
        </w:rPr>
        <w:t>.</w:t>
      </w:r>
    </w:p>
    <w:p w14:paraId="58B43EDD" w14:textId="27E41D46" w:rsidR="00E14856" w:rsidRPr="00E14856" w:rsidRDefault="00E14856" w:rsidP="00D444B9">
      <w:pPr>
        <w:spacing w:line="360" w:lineRule="auto"/>
        <w:jc w:val="both"/>
        <w:rPr>
          <w:rFonts w:ascii="Arial" w:hAnsi="Arial" w:cs="Arial"/>
          <w:sz w:val="24"/>
          <w:szCs w:val="24"/>
        </w:rPr>
      </w:pPr>
      <w:r>
        <w:rPr>
          <w:rFonts w:ascii="Arial" w:hAnsi="Arial" w:cs="Arial"/>
          <w:sz w:val="24"/>
          <w:szCs w:val="24"/>
        </w:rPr>
        <w:t xml:space="preserve">Las esferas de alúmina se obtuvieron por la técnica de encapsulación iónica, utilizando como agente encapsulante el alginato de sodio y como soporte se utilizó el PVA el cual tambien le brindo porosidad a las mismas. </w:t>
      </w:r>
      <w:r w:rsidR="001663BF">
        <w:rPr>
          <w:rFonts w:ascii="Arial" w:hAnsi="Arial" w:cs="Arial"/>
          <w:sz w:val="24"/>
          <w:szCs w:val="24"/>
        </w:rPr>
        <w:t xml:space="preserve">Despues de que las esferas fueron sometidas al proceso térmico las esferas presentaron una mayor dureza </w:t>
      </w:r>
      <w:r w:rsidR="001663BF" w:rsidRPr="001663BF">
        <w:rPr>
          <w:rFonts w:ascii="Arial" w:hAnsi="Arial" w:cs="Arial"/>
          <w:sz w:val="24"/>
          <w:szCs w:val="24"/>
        </w:rPr>
        <w:t>y presentaron un tamaño de 3.03 ± 0.72 mm</w:t>
      </w:r>
      <w:r w:rsidR="001663BF">
        <w:rPr>
          <w:rFonts w:ascii="Arial" w:hAnsi="Arial" w:cs="Arial"/>
          <w:sz w:val="24"/>
          <w:szCs w:val="24"/>
        </w:rPr>
        <w:t xml:space="preserve"> de ancho</w:t>
      </w:r>
      <w:r w:rsidR="001663BF" w:rsidRPr="001663BF">
        <w:rPr>
          <w:rFonts w:ascii="Arial" w:hAnsi="Arial" w:cs="Arial"/>
          <w:sz w:val="24"/>
          <w:szCs w:val="24"/>
        </w:rPr>
        <w:t xml:space="preserve"> por 2.67 ± 0.67</w:t>
      </w:r>
      <w:r w:rsidR="001663BF">
        <w:rPr>
          <w:rFonts w:ascii="Arial" w:hAnsi="Arial" w:cs="Arial"/>
          <w:sz w:val="24"/>
          <w:szCs w:val="24"/>
        </w:rPr>
        <w:t xml:space="preserve"> de alto con una porosidad de 0.84±0.05. En la figura </w:t>
      </w:r>
      <w:r w:rsidR="0049626A">
        <w:rPr>
          <w:rFonts w:ascii="Arial" w:hAnsi="Arial" w:cs="Arial"/>
          <w:sz w:val="24"/>
          <w:szCs w:val="24"/>
        </w:rPr>
        <w:t xml:space="preserve">2 </w:t>
      </w:r>
      <w:r w:rsidR="001663BF">
        <w:rPr>
          <w:rFonts w:ascii="Arial" w:hAnsi="Arial" w:cs="Arial"/>
          <w:sz w:val="24"/>
          <w:szCs w:val="24"/>
        </w:rPr>
        <w:t xml:space="preserve">a) se muestra una esfera de alúmina-hidroxiapatita despues del proceso de sinterización y en la figura </w:t>
      </w:r>
      <w:r w:rsidR="0049626A">
        <w:rPr>
          <w:rFonts w:ascii="Arial" w:hAnsi="Arial" w:cs="Arial"/>
          <w:sz w:val="24"/>
          <w:szCs w:val="24"/>
        </w:rPr>
        <w:t xml:space="preserve">2 </w:t>
      </w:r>
      <w:r w:rsidR="001663BF">
        <w:rPr>
          <w:rFonts w:ascii="Arial" w:hAnsi="Arial" w:cs="Arial"/>
          <w:sz w:val="24"/>
          <w:szCs w:val="24"/>
        </w:rPr>
        <w:t>b) se muestran las esferas de AL-</w:t>
      </w:r>
      <w:r w:rsidR="00B57E9F">
        <w:rPr>
          <w:rFonts w:ascii="Arial" w:hAnsi="Arial" w:cs="Arial"/>
          <w:sz w:val="24"/>
          <w:szCs w:val="24"/>
        </w:rPr>
        <w:t>HA dopadas</w:t>
      </w:r>
      <w:r w:rsidR="001663BF">
        <w:rPr>
          <w:rFonts w:ascii="Arial" w:hAnsi="Arial" w:cs="Arial"/>
          <w:sz w:val="24"/>
          <w:szCs w:val="24"/>
        </w:rPr>
        <w:t xml:space="preserve"> con iones de Cu.</w:t>
      </w:r>
    </w:p>
    <w:p w14:paraId="0B1460CC" w14:textId="077F8833" w:rsidR="00D6557E" w:rsidRDefault="00E14856" w:rsidP="00D444B9">
      <w:pPr>
        <w:spacing w:line="360" w:lineRule="auto"/>
        <w:jc w:val="both"/>
        <w:rPr>
          <w:rFonts w:ascii="Arial" w:hAnsi="Arial" w:cs="Arial"/>
          <w:b/>
          <w:bCs/>
          <w:sz w:val="24"/>
          <w:szCs w:val="24"/>
        </w:rPr>
      </w:pPr>
      <w:r>
        <w:rPr>
          <w:noProof/>
        </w:rPr>
        <w:lastRenderedPageBreak/>
        <w:drawing>
          <wp:inline distT="0" distB="0" distL="0" distR="0" wp14:anchorId="06FD6426" wp14:editId="3A728B77">
            <wp:extent cx="5612130" cy="2072257"/>
            <wp:effectExtent l="0" t="0" r="762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BEBA8EAE-BF5A-486C-A8C5-ECC9F3942E4B}">
                          <a14:imgProps xmlns:a14="http://schemas.microsoft.com/office/drawing/2010/main">
                            <a14:imgLayer r:embed="rId10">
                              <a14:imgEffect>
                                <a14:sharpenSoften amount="25000"/>
                              </a14:imgEffect>
                            </a14:imgLayer>
                          </a14:imgProps>
                        </a:ext>
                      </a:extLst>
                    </a:blip>
                    <a:srcRect l="5261" t="18414" r="6483" b="23627"/>
                    <a:stretch/>
                  </pic:blipFill>
                  <pic:spPr bwMode="auto">
                    <a:xfrm>
                      <a:off x="0" y="0"/>
                      <a:ext cx="5612130" cy="2072257"/>
                    </a:xfrm>
                    <a:prstGeom prst="rect">
                      <a:avLst/>
                    </a:prstGeom>
                    <a:ln>
                      <a:noFill/>
                    </a:ln>
                    <a:extLst>
                      <a:ext uri="{53640926-AAD7-44D8-BBD7-CCE9431645EC}">
                        <a14:shadowObscured xmlns:a14="http://schemas.microsoft.com/office/drawing/2010/main"/>
                      </a:ext>
                    </a:extLst>
                  </pic:spPr>
                </pic:pic>
              </a:graphicData>
            </a:graphic>
          </wp:inline>
        </w:drawing>
      </w:r>
      <w:r w:rsidR="00D6557E">
        <w:rPr>
          <w:rFonts w:ascii="Arial" w:hAnsi="Arial" w:cs="Arial"/>
          <w:b/>
          <w:bCs/>
          <w:sz w:val="24"/>
          <w:szCs w:val="24"/>
        </w:rPr>
        <w:t xml:space="preserve"> </w:t>
      </w:r>
    </w:p>
    <w:p w14:paraId="76B7B2CD" w14:textId="724B296B" w:rsidR="00E14856" w:rsidRDefault="00E14856" w:rsidP="00E14856">
      <w:pPr>
        <w:spacing w:line="360" w:lineRule="auto"/>
        <w:jc w:val="both"/>
        <w:rPr>
          <w:rFonts w:ascii="Arial" w:hAnsi="Arial" w:cs="Arial"/>
          <w:sz w:val="20"/>
          <w:szCs w:val="20"/>
        </w:rPr>
      </w:pPr>
      <w:r w:rsidRPr="003F1854">
        <w:rPr>
          <w:rFonts w:ascii="Arial" w:hAnsi="Arial" w:cs="Arial"/>
          <w:b/>
          <w:bCs/>
          <w:sz w:val="20"/>
          <w:szCs w:val="20"/>
        </w:rPr>
        <w:t xml:space="preserve">Figura </w:t>
      </w:r>
      <w:r w:rsidR="0049626A">
        <w:rPr>
          <w:rFonts w:ascii="Arial" w:hAnsi="Arial" w:cs="Arial"/>
          <w:b/>
          <w:bCs/>
          <w:sz w:val="20"/>
          <w:szCs w:val="20"/>
        </w:rPr>
        <w:t>2</w:t>
      </w:r>
      <w:r w:rsidRPr="003F1854">
        <w:rPr>
          <w:rFonts w:ascii="Arial" w:hAnsi="Arial" w:cs="Arial"/>
          <w:b/>
          <w:bCs/>
          <w:sz w:val="20"/>
          <w:szCs w:val="20"/>
        </w:rPr>
        <w:t xml:space="preserve">. </w:t>
      </w:r>
      <w:r w:rsidRPr="003F1854">
        <w:rPr>
          <w:rFonts w:ascii="Arial" w:hAnsi="Arial" w:cs="Arial"/>
          <w:sz w:val="20"/>
          <w:szCs w:val="20"/>
        </w:rPr>
        <w:t>a) Esferas sinterizadas de alúmina-hidroxiapatita b) esferas de alúmina-hidroxiapatita dopadas con iones de cobre a distintas concentraciones.</w:t>
      </w:r>
    </w:p>
    <w:p w14:paraId="20193D67" w14:textId="1E425E14" w:rsidR="00712FAC" w:rsidRPr="00712FAC" w:rsidRDefault="00C6206C" w:rsidP="00712FAC">
      <w:pPr>
        <w:pStyle w:val="Descripcin"/>
        <w:spacing w:line="360" w:lineRule="auto"/>
        <w:rPr>
          <w:noProof/>
          <w:sz w:val="24"/>
          <w:szCs w:val="32"/>
        </w:rPr>
      </w:pPr>
      <w:bookmarkStart w:id="6" w:name="_Toc9251062"/>
      <w:r w:rsidRPr="00013869">
        <w:rPr>
          <w:sz w:val="24"/>
          <w:szCs w:val="24"/>
        </w:rPr>
        <w:t xml:space="preserve">En el análisis por FTIR </w:t>
      </w:r>
      <w:r w:rsidR="00013869" w:rsidRPr="00013869">
        <w:rPr>
          <w:sz w:val="24"/>
          <w:szCs w:val="24"/>
        </w:rPr>
        <w:t xml:space="preserve">que se muestra en la figura </w:t>
      </w:r>
      <w:r w:rsidR="0049626A">
        <w:rPr>
          <w:sz w:val="24"/>
          <w:szCs w:val="24"/>
        </w:rPr>
        <w:t>3</w:t>
      </w:r>
      <w:r w:rsidR="00E72192">
        <w:rPr>
          <w:sz w:val="24"/>
          <w:szCs w:val="24"/>
        </w:rPr>
        <w:t xml:space="preserve"> a)</w:t>
      </w:r>
      <w:r w:rsidR="00013869" w:rsidRPr="00013869">
        <w:rPr>
          <w:sz w:val="24"/>
          <w:szCs w:val="24"/>
        </w:rPr>
        <w:t xml:space="preserve"> </w:t>
      </w:r>
      <w:r w:rsidRPr="00013869">
        <w:rPr>
          <w:sz w:val="24"/>
          <w:szCs w:val="24"/>
        </w:rPr>
        <w:t>muestra una amplia banda entre 500 y 1000 cm</w:t>
      </w:r>
      <w:r w:rsidRPr="00013869">
        <w:rPr>
          <w:sz w:val="24"/>
          <w:szCs w:val="24"/>
          <w:vertAlign w:val="superscript"/>
        </w:rPr>
        <w:t>-1</w:t>
      </w:r>
      <w:r w:rsidRPr="00013869">
        <w:rPr>
          <w:sz w:val="24"/>
          <w:szCs w:val="24"/>
        </w:rPr>
        <w:t xml:space="preserve">, </w:t>
      </w:r>
      <w:r w:rsidR="002616C4" w:rsidRPr="00013869">
        <w:rPr>
          <w:sz w:val="24"/>
          <w:szCs w:val="24"/>
        </w:rPr>
        <w:t xml:space="preserve">la cual corresponde a las frecuencias vibratorias de los enlaces </w:t>
      </w:r>
      <w:r w:rsidR="00E72192" w:rsidRPr="00013869">
        <w:rPr>
          <w:sz w:val="24"/>
          <w:szCs w:val="24"/>
        </w:rPr>
        <w:t xml:space="preserve">coordinados </w:t>
      </w:r>
      <w:r w:rsidR="002616C4" w:rsidRPr="00013869">
        <w:rPr>
          <w:sz w:val="24"/>
          <w:szCs w:val="24"/>
        </w:rPr>
        <w:t xml:space="preserve">O-Al-O </w:t>
      </w:r>
      <w:r w:rsidR="00013869" w:rsidRPr="00013869">
        <w:rPr>
          <w:sz w:val="24"/>
          <w:szCs w:val="24"/>
        </w:rPr>
        <w:t xml:space="preserve">en donde la señal característica de la alúmina es a </w:t>
      </w:r>
      <w:r w:rsidR="00013869" w:rsidRPr="00013869">
        <w:rPr>
          <w:rFonts w:cs="Arial"/>
          <w:sz w:val="24"/>
          <w:szCs w:val="24"/>
        </w:rPr>
        <w:t>491, 565, 634 cm</w:t>
      </w:r>
      <w:r w:rsidR="00013869" w:rsidRPr="00013869">
        <w:rPr>
          <w:rFonts w:cs="Arial"/>
          <w:sz w:val="24"/>
          <w:szCs w:val="24"/>
          <w:vertAlign w:val="superscript"/>
        </w:rPr>
        <w:t>-1</w:t>
      </w:r>
      <w:r w:rsidR="00CE1B0A" w:rsidRPr="00013869">
        <w:rPr>
          <w:sz w:val="24"/>
          <w:szCs w:val="24"/>
        </w:rPr>
        <w:t>.</w:t>
      </w:r>
      <w:bookmarkEnd w:id="6"/>
      <w:r w:rsidR="00013869" w:rsidRPr="00013869">
        <w:rPr>
          <w:sz w:val="24"/>
          <w:szCs w:val="24"/>
        </w:rPr>
        <w:t xml:space="preserve"> El espectro IR muestra que no hay interacción entre los iones de cobre con las esferas. En la figura </w:t>
      </w:r>
      <w:r w:rsidR="0049626A">
        <w:rPr>
          <w:sz w:val="24"/>
          <w:szCs w:val="24"/>
        </w:rPr>
        <w:t>3</w:t>
      </w:r>
      <w:r w:rsidR="00E72192">
        <w:rPr>
          <w:sz w:val="24"/>
          <w:szCs w:val="24"/>
        </w:rPr>
        <w:t xml:space="preserve"> </w:t>
      </w:r>
      <w:r w:rsidR="00013869" w:rsidRPr="00013869">
        <w:rPr>
          <w:sz w:val="24"/>
          <w:szCs w:val="24"/>
        </w:rPr>
        <w:t>b</w:t>
      </w:r>
      <w:r w:rsidR="00E72192">
        <w:rPr>
          <w:sz w:val="24"/>
          <w:szCs w:val="24"/>
        </w:rPr>
        <w:t>)</w:t>
      </w:r>
      <w:r w:rsidR="00013869" w:rsidRPr="00013869">
        <w:rPr>
          <w:sz w:val="24"/>
          <w:szCs w:val="24"/>
        </w:rPr>
        <w:t xml:space="preserve"> se observan las bandas características de la hidroxiapatita donde a 563, 601 y 1029 cm</w:t>
      </w:r>
      <w:r w:rsidR="00013869" w:rsidRPr="00013869">
        <w:rPr>
          <w:sz w:val="24"/>
          <w:szCs w:val="24"/>
          <w:vertAlign w:val="superscript"/>
        </w:rPr>
        <w:t>-1</w:t>
      </w:r>
      <w:r w:rsidR="00013869" w:rsidRPr="00013869">
        <w:rPr>
          <w:sz w:val="24"/>
          <w:szCs w:val="24"/>
        </w:rPr>
        <w:t xml:space="preserve"> aparecen las vibraciones correspondientes al grupo PO</w:t>
      </w:r>
      <w:r w:rsidR="00013869" w:rsidRPr="00013869">
        <w:rPr>
          <w:sz w:val="24"/>
          <w:szCs w:val="24"/>
          <w:vertAlign w:val="subscript"/>
        </w:rPr>
        <w:t>4</w:t>
      </w:r>
      <w:r w:rsidR="00013869" w:rsidRPr="00013869">
        <w:rPr>
          <w:sz w:val="24"/>
          <w:szCs w:val="24"/>
          <w:vertAlign w:val="superscript"/>
        </w:rPr>
        <w:t>3-</w:t>
      </w:r>
      <w:r w:rsidR="00013869" w:rsidRPr="00013869">
        <w:rPr>
          <w:sz w:val="24"/>
          <w:szCs w:val="24"/>
        </w:rPr>
        <w:t>, a 870 cm-1 la característica a un grupo CO</w:t>
      </w:r>
      <w:r w:rsidR="00013869" w:rsidRPr="00013869">
        <w:rPr>
          <w:sz w:val="24"/>
          <w:szCs w:val="24"/>
          <w:vertAlign w:val="subscript"/>
        </w:rPr>
        <w:t>3</w:t>
      </w:r>
      <w:r w:rsidR="00013869" w:rsidRPr="00013869">
        <w:rPr>
          <w:sz w:val="24"/>
          <w:szCs w:val="24"/>
          <w:vertAlign w:val="superscript"/>
        </w:rPr>
        <w:t>2</w:t>
      </w:r>
      <w:r w:rsidR="00100320" w:rsidRPr="00013869">
        <w:rPr>
          <w:sz w:val="24"/>
          <w:szCs w:val="24"/>
          <w:vertAlign w:val="superscript"/>
        </w:rPr>
        <w:t xml:space="preserve">- </w:t>
      </w:r>
      <w:r w:rsidR="00100320">
        <w:rPr>
          <w:sz w:val="24"/>
          <w:szCs w:val="24"/>
        </w:rPr>
        <w:t xml:space="preserve">y </w:t>
      </w:r>
      <w:r w:rsidR="00013869">
        <w:rPr>
          <w:sz w:val="24"/>
          <w:szCs w:val="24"/>
        </w:rPr>
        <w:t>a 3 570 cm</w:t>
      </w:r>
      <w:r w:rsidR="00013869" w:rsidRPr="00013869">
        <w:rPr>
          <w:sz w:val="24"/>
          <w:szCs w:val="24"/>
          <w:vertAlign w:val="superscript"/>
        </w:rPr>
        <w:t>-1</w:t>
      </w:r>
      <w:r w:rsidR="00013869">
        <w:rPr>
          <w:sz w:val="24"/>
          <w:szCs w:val="24"/>
        </w:rPr>
        <w:t xml:space="preserve"> la vibración del grupo OH-.</w:t>
      </w:r>
      <w:r w:rsidR="00100320">
        <w:rPr>
          <w:sz w:val="24"/>
          <w:szCs w:val="24"/>
        </w:rPr>
        <w:t xml:space="preserve"> En la figura </w:t>
      </w:r>
      <w:r w:rsidR="0049626A">
        <w:rPr>
          <w:sz w:val="24"/>
          <w:szCs w:val="24"/>
        </w:rPr>
        <w:t>3</w:t>
      </w:r>
      <w:r w:rsidR="00E72192">
        <w:rPr>
          <w:sz w:val="24"/>
          <w:szCs w:val="24"/>
        </w:rPr>
        <w:t xml:space="preserve"> </w:t>
      </w:r>
      <w:r w:rsidR="00100320">
        <w:rPr>
          <w:sz w:val="24"/>
          <w:szCs w:val="24"/>
        </w:rPr>
        <w:t>c</w:t>
      </w:r>
      <w:r w:rsidR="00E72192">
        <w:rPr>
          <w:sz w:val="24"/>
          <w:szCs w:val="24"/>
        </w:rPr>
        <w:t>)</w:t>
      </w:r>
      <w:r w:rsidR="00100320">
        <w:rPr>
          <w:sz w:val="24"/>
          <w:szCs w:val="24"/>
        </w:rPr>
        <w:t xml:space="preserve"> se tiene el espectro Raman de las esferas de alúmina a concentraciones de 25 y 200 mM, en el cual se puede apreciar </w:t>
      </w:r>
      <w:r w:rsidR="00100320" w:rsidRPr="00100320">
        <w:rPr>
          <w:sz w:val="24"/>
          <w:szCs w:val="24"/>
        </w:rPr>
        <w:t xml:space="preserve">la intensidad de los picos de hidroxiapatita con cada una de las concentraciones de cobre conforme </w:t>
      </w:r>
      <w:r w:rsidR="00100320">
        <w:rPr>
          <w:sz w:val="24"/>
          <w:szCs w:val="24"/>
        </w:rPr>
        <w:t>aumente su</w:t>
      </w:r>
      <w:r w:rsidR="00100320" w:rsidRPr="00100320">
        <w:rPr>
          <w:sz w:val="24"/>
          <w:szCs w:val="24"/>
        </w:rPr>
        <w:t xml:space="preserve"> la intensidad de cobre menor</w:t>
      </w:r>
      <w:r w:rsidR="00100320">
        <w:rPr>
          <w:sz w:val="24"/>
          <w:szCs w:val="24"/>
        </w:rPr>
        <w:t xml:space="preserve"> es</w:t>
      </w:r>
      <w:r w:rsidR="00100320" w:rsidRPr="00100320">
        <w:rPr>
          <w:sz w:val="24"/>
          <w:szCs w:val="24"/>
        </w:rPr>
        <w:t xml:space="preserve"> el pico presentado y en una menor concentración aumenta la intensidad de los picos</w:t>
      </w:r>
      <w:r w:rsidR="00100320">
        <w:rPr>
          <w:sz w:val="24"/>
          <w:szCs w:val="24"/>
        </w:rPr>
        <w:t xml:space="preserve">. </w:t>
      </w:r>
      <w:r w:rsidR="00AB4BB2">
        <w:rPr>
          <w:sz w:val="24"/>
          <w:szCs w:val="24"/>
        </w:rPr>
        <w:t xml:space="preserve">En el difactograma de la figura </w:t>
      </w:r>
      <w:r w:rsidR="0049626A">
        <w:rPr>
          <w:sz w:val="24"/>
          <w:szCs w:val="24"/>
        </w:rPr>
        <w:t>3</w:t>
      </w:r>
      <w:r w:rsidR="00E72192">
        <w:rPr>
          <w:sz w:val="24"/>
          <w:szCs w:val="24"/>
        </w:rPr>
        <w:t xml:space="preserve"> </w:t>
      </w:r>
      <w:r w:rsidR="00AB4BB2">
        <w:rPr>
          <w:sz w:val="24"/>
          <w:szCs w:val="24"/>
        </w:rPr>
        <w:t>d</w:t>
      </w:r>
      <w:r w:rsidR="00E72192">
        <w:rPr>
          <w:sz w:val="24"/>
          <w:szCs w:val="24"/>
        </w:rPr>
        <w:t>)</w:t>
      </w:r>
      <w:r w:rsidR="00AB4BB2">
        <w:rPr>
          <w:sz w:val="24"/>
          <w:szCs w:val="24"/>
        </w:rPr>
        <w:t xml:space="preserve"> se observa que en efecto la fase de la </w:t>
      </w:r>
      <w:r w:rsidR="00712FAC">
        <w:rPr>
          <w:sz w:val="24"/>
          <w:szCs w:val="24"/>
        </w:rPr>
        <w:t>alúmina</w:t>
      </w:r>
      <w:r w:rsidR="00AB4BB2">
        <w:rPr>
          <w:sz w:val="24"/>
          <w:szCs w:val="24"/>
        </w:rPr>
        <w:t xml:space="preserve"> </w:t>
      </w:r>
      <w:r w:rsidR="00712FAC">
        <w:rPr>
          <w:sz w:val="24"/>
          <w:szCs w:val="24"/>
        </w:rPr>
        <w:t xml:space="preserve">utilizada es la fase </w:t>
      </w:r>
      <w:r w:rsidR="00712FAC" w:rsidRPr="007B2D6A">
        <w:rPr>
          <w:rFonts w:cs="Arial"/>
          <w:szCs w:val="24"/>
        </w:rPr>
        <w:t>α</w:t>
      </w:r>
      <w:r w:rsidR="00712FAC">
        <w:rPr>
          <w:rFonts w:cs="Arial"/>
          <w:szCs w:val="24"/>
        </w:rPr>
        <w:t xml:space="preserve"> </w:t>
      </w:r>
      <w:r w:rsidR="00712FAC">
        <w:rPr>
          <w:rFonts w:cs="Arial"/>
          <w:sz w:val="24"/>
          <w:szCs w:val="32"/>
        </w:rPr>
        <w:t xml:space="preserve">debido a su termo estabilidad y dureza característica. Por </w:t>
      </w:r>
      <w:r w:rsidR="00D6557E">
        <w:rPr>
          <w:rFonts w:cs="Arial"/>
          <w:sz w:val="24"/>
          <w:szCs w:val="32"/>
        </w:rPr>
        <w:t>último</w:t>
      </w:r>
      <w:r w:rsidR="00712FAC">
        <w:rPr>
          <w:rFonts w:cs="Arial"/>
          <w:sz w:val="24"/>
          <w:szCs w:val="32"/>
        </w:rPr>
        <w:t xml:space="preserve"> en la figura </w:t>
      </w:r>
      <w:r w:rsidR="0049626A">
        <w:rPr>
          <w:rFonts w:cs="Arial"/>
          <w:sz w:val="24"/>
          <w:szCs w:val="32"/>
        </w:rPr>
        <w:t xml:space="preserve">3 </w:t>
      </w:r>
      <w:r w:rsidR="00712FAC">
        <w:rPr>
          <w:rFonts w:cs="Arial"/>
          <w:sz w:val="24"/>
          <w:szCs w:val="32"/>
        </w:rPr>
        <w:t>e</w:t>
      </w:r>
      <w:r w:rsidR="0049626A">
        <w:rPr>
          <w:rFonts w:cs="Arial"/>
          <w:sz w:val="24"/>
          <w:szCs w:val="32"/>
        </w:rPr>
        <w:t>)</w:t>
      </w:r>
      <w:r w:rsidR="00712FAC">
        <w:rPr>
          <w:rFonts w:cs="Arial"/>
          <w:sz w:val="24"/>
          <w:szCs w:val="32"/>
        </w:rPr>
        <w:t xml:space="preserve"> el difactograma muestra las esferas de alúmina con hidroxiapatita en donde se observan los planos</w:t>
      </w:r>
      <w:r w:rsidR="00712FAC" w:rsidRPr="00712FAC">
        <w:rPr>
          <w:rFonts w:cs="Arial"/>
          <w:sz w:val="24"/>
          <w:szCs w:val="32"/>
        </w:rPr>
        <w:t>104, 113 y 116</w:t>
      </w:r>
      <w:r w:rsidR="00712FAC">
        <w:rPr>
          <w:rFonts w:cs="Arial"/>
          <w:sz w:val="24"/>
          <w:szCs w:val="32"/>
        </w:rPr>
        <w:t xml:space="preserve"> que</w:t>
      </w:r>
      <w:r w:rsidR="00712FAC" w:rsidRPr="00712FAC">
        <w:rPr>
          <w:rFonts w:cs="Arial"/>
          <w:sz w:val="24"/>
          <w:szCs w:val="32"/>
        </w:rPr>
        <w:t xml:space="preserve"> corresponden a la α-alúmina</w:t>
      </w:r>
      <w:r w:rsidR="00712FAC">
        <w:rPr>
          <w:rFonts w:cs="Arial"/>
          <w:sz w:val="24"/>
          <w:szCs w:val="32"/>
        </w:rPr>
        <w:t xml:space="preserve"> </w:t>
      </w:r>
      <w:r w:rsidR="00712FAC" w:rsidRPr="00712FAC">
        <w:rPr>
          <w:rFonts w:cs="Arial"/>
          <w:sz w:val="24"/>
          <w:szCs w:val="32"/>
        </w:rPr>
        <w:t>y los planos 002, 112 y 211 corresponden a hidroxiapatita</w:t>
      </w:r>
      <w:r w:rsidR="00712FAC">
        <w:rPr>
          <w:rFonts w:cs="Arial"/>
          <w:sz w:val="24"/>
          <w:szCs w:val="32"/>
        </w:rPr>
        <w:t>.</w:t>
      </w:r>
    </w:p>
    <w:p w14:paraId="157D1AD9" w14:textId="43DA130A" w:rsidR="00013869" w:rsidRPr="00712FAC" w:rsidRDefault="00013869" w:rsidP="00712FAC">
      <w:pPr>
        <w:pStyle w:val="Descripcin"/>
        <w:spacing w:line="360" w:lineRule="auto"/>
        <w:rPr>
          <w:sz w:val="24"/>
          <w:szCs w:val="24"/>
        </w:rPr>
      </w:pPr>
      <w:r>
        <w:rPr>
          <w:noProof/>
        </w:rPr>
        <w:lastRenderedPageBreak/>
        <w:drawing>
          <wp:inline distT="0" distB="0" distL="0" distR="0" wp14:anchorId="1AB65E0B" wp14:editId="6D69979A">
            <wp:extent cx="6056361" cy="3371850"/>
            <wp:effectExtent l="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BEBA8EAE-BF5A-486C-A8C5-ECC9F3942E4B}">
                          <a14:imgProps xmlns:a14="http://schemas.microsoft.com/office/drawing/2010/main">
                            <a14:imgLayer r:embed="rId12">
                              <a14:imgEffect>
                                <a14:sharpenSoften amount="25000"/>
                              </a14:imgEffect>
                            </a14:imgLayer>
                          </a14:imgProps>
                        </a:ext>
                      </a:extLst>
                    </a:blip>
                    <a:srcRect l="11542" t="10867" r="9198" b="10646"/>
                    <a:stretch/>
                  </pic:blipFill>
                  <pic:spPr bwMode="auto">
                    <a:xfrm>
                      <a:off x="0" y="0"/>
                      <a:ext cx="6077674" cy="3383716"/>
                    </a:xfrm>
                    <a:prstGeom prst="rect">
                      <a:avLst/>
                    </a:prstGeom>
                    <a:ln>
                      <a:noFill/>
                    </a:ln>
                    <a:extLst>
                      <a:ext uri="{53640926-AAD7-44D8-BBD7-CCE9431645EC}">
                        <a14:shadowObscured xmlns:a14="http://schemas.microsoft.com/office/drawing/2010/main"/>
                      </a:ext>
                    </a:extLst>
                  </pic:spPr>
                </pic:pic>
              </a:graphicData>
            </a:graphic>
          </wp:inline>
        </w:drawing>
      </w:r>
    </w:p>
    <w:p w14:paraId="390B58CA" w14:textId="291A7091" w:rsidR="003B3055" w:rsidRDefault="00100320" w:rsidP="00D444B9">
      <w:pPr>
        <w:spacing w:line="360" w:lineRule="auto"/>
        <w:jc w:val="both"/>
        <w:rPr>
          <w:rFonts w:ascii="Arial" w:hAnsi="Arial" w:cs="Arial"/>
          <w:sz w:val="20"/>
          <w:szCs w:val="20"/>
        </w:rPr>
      </w:pPr>
      <w:r w:rsidRPr="00712FAC">
        <w:rPr>
          <w:rFonts w:ascii="Arial" w:hAnsi="Arial" w:cs="Arial"/>
          <w:b/>
          <w:bCs/>
          <w:sz w:val="20"/>
          <w:szCs w:val="20"/>
        </w:rPr>
        <w:t xml:space="preserve">Figura </w:t>
      </w:r>
      <w:r w:rsidR="0049626A">
        <w:rPr>
          <w:rFonts w:ascii="Arial" w:hAnsi="Arial" w:cs="Arial"/>
          <w:b/>
          <w:bCs/>
          <w:sz w:val="20"/>
          <w:szCs w:val="20"/>
        </w:rPr>
        <w:t>3</w:t>
      </w:r>
      <w:r w:rsidRPr="00712FAC">
        <w:rPr>
          <w:rFonts w:ascii="Arial" w:hAnsi="Arial" w:cs="Arial"/>
          <w:b/>
          <w:bCs/>
          <w:sz w:val="20"/>
          <w:szCs w:val="20"/>
        </w:rPr>
        <w:t>.</w:t>
      </w:r>
      <w:r w:rsidR="00712FAC" w:rsidRPr="00712FAC">
        <w:rPr>
          <w:rFonts w:ascii="Arial" w:hAnsi="Arial" w:cs="Arial"/>
          <w:b/>
          <w:bCs/>
          <w:sz w:val="20"/>
          <w:szCs w:val="20"/>
        </w:rPr>
        <w:t xml:space="preserve"> </w:t>
      </w:r>
      <w:r w:rsidR="00712FAC" w:rsidRPr="00712FAC">
        <w:rPr>
          <w:rFonts w:ascii="Arial" w:hAnsi="Arial" w:cs="Arial"/>
          <w:sz w:val="20"/>
          <w:szCs w:val="20"/>
        </w:rPr>
        <w:t>A)</w:t>
      </w:r>
      <w:r w:rsidR="00712FAC" w:rsidRPr="00712FAC">
        <w:rPr>
          <w:sz w:val="18"/>
          <w:szCs w:val="18"/>
        </w:rPr>
        <w:t xml:space="preserve"> </w:t>
      </w:r>
      <w:r w:rsidR="00712FAC" w:rsidRPr="00712FAC">
        <w:rPr>
          <w:rFonts w:ascii="Arial" w:hAnsi="Arial" w:cs="Arial"/>
          <w:sz w:val="20"/>
          <w:szCs w:val="20"/>
        </w:rPr>
        <w:t>Espectro IR de las esferas alúmina. B) Espectros IR de las esferas de Alúmina-hidroxiapatita-cobre. C) Espectroscopia RAMAN de esferas de alúmina-hidroxiapatita-cobre. D) Patrón DRX de las esferas de alúmina. E) Patrón DRX de las esferas de alúmina-hidroxiapatita.</w:t>
      </w:r>
      <w:r w:rsidR="00BD2109">
        <w:rPr>
          <w:rFonts w:ascii="Arial" w:hAnsi="Arial" w:cs="Arial"/>
          <w:sz w:val="20"/>
          <w:szCs w:val="20"/>
        </w:rPr>
        <w:t xml:space="preserve"> </w:t>
      </w:r>
    </w:p>
    <w:p w14:paraId="7DD53939" w14:textId="5DEFBB35" w:rsidR="00712FAC" w:rsidRDefault="007848FA" w:rsidP="00D444B9">
      <w:pPr>
        <w:spacing w:line="360" w:lineRule="auto"/>
        <w:jc w:val="both"/>
        <w:rPr>
          <w:rFonts w:ascii="Arial" w:hAnsi="Arial" w:cs="Arial"/>
          <w:sz w:val="24"/>
          <w:szCs w:val="24"/>
        </w:rPr>
      </w:pPr>
      <w:r>
        <w:rPr>
          <w:rFonts w:ascii="Arial" w:hAnsi="Arial" w:cs="Arial"/>
          <w:sz w:val="24"/>
          <w:szCs w:val="24"/>
        </w:rPr>
        <w:t>En la figura</w:t>
      </w:r>
      <w:r w:rsidR="000F2C44">
        <w:rPr>
          <w:rFonts w:ascii="Arial" w:hAnsi="Arial" w:cs="Arial"/>
          <w:sz w:val="24"/>
          <w:szCs w:val="24"/>
        </w:rPr>
        <w:t>s</w:t>
      </w:r>
      <w:r>
        <w:rPr>
          <w:rFonts w:ascii="Arial" w:hAnsi="Arial" w:cs="Arial"/>
          <w:sz w:val="24"/>
          <w:szCs w:val="24"/>
        </w:rPr>
        <w:t xml:space="preserve"> </w:t>
      </w:r>
      <w:r w:rsidR="0049626A">
        <w:rPr>
          <w:rFonts w:ascii="Arial" w:hAnsi="Arial" w:cs="Arial"/>
          <w:sz w:val="24"/>
          <w:szCs w:val="24"/>
        </w:rPr>
        <w:t>4</w:t>
      </w:r>
      <w:r w:rsidR="000F2C44">
        <w:rPr>
          <w:rFonts w:ascii="Arial" w:hAnsi="Arial" w:cs="Arial"/>
          <w:sz w:val="24"/>
          <w:szCs w:val="24"/>
        </w:rPr>
        <w:t xml:space="preserve"> a), b), y c)</w:t>
      </w:r>
      <w:r w:rsidR="00E72192">
        <w:rPr>
          <w:rFonts w:ascii="Arial" w:hAnsi="Arial" w:cs="Arial"/>
          <w:sz w:val="24"/>
          <w:szCs w:val="24"/>
        </w:rPr>
        <w:t xml:space="preserve"> se</w:t>
      </w:r>
      <w:r>
        <w:rPr>
          <w:rFonts w:ascii="Arial" w:hAnsi="Arial" w:cs="Arial"/>
          <w:sz w:val="24"/>
          <w:szCs w:val="24"/>
        </w:rPr>
        <w:t xml:space="preserve"> logra apreciar desde diversos ángulos la morfología de la</w:t>
      </w:r>
      <w:r w:rsidR="000F2C44">
        <w:rPr>
          <w:rFonts w:ascii="Arial" w:hAnsi="Arial" w:cs="Arial"/>
          <w:sz w:val="24"/>
          <w:szCs w:val="24"/>
        </w:rPr>
        <w:t>s esferas de</w:t>
      </w:r>
      <w:r>
        <w:rPr>
          <w:rFonts w:ascii="Arial" w:hAnsi="Arial" w:cs="Arial"/>
          <w:sz w:val="24"/>
          <w:szCs w:val="24"/>
        </w:rPr>
        <w:t xml:space="preserve"> alúmina</w:t>
      </w:r>
      <w:r w:rsidR="000F2C44">
        <w:rPr>
          <w:rFonts w:ascii="Arial" w:hAnsi="Arial" w:cs="Arial"/>
          <w:sz w:val="24"/>
          <w:szCs w:val="24"/>
        </w:rPr>
        <w:t>-hidroxiapatita-cobre</w:t>
      </w:r>
      <w:r>
        <w:rPr>
          <w:rFonts w:ascii="Arial" w:hAnsi="Arial" w:cs="Arial"/>
          <w:sz w:val="24"/>
          <w:szCs w:val="24"/>
        </w:rPr>
        <w:t xml:space="preserve"> de una muestra esférica partida a la mitad mientras que</w:t>
      </w:r>
      <w:r w:rsidR="000F2C44">
        <w:rPr>
          <w:rFonts w:ascii="Arial" w:hAnsi="Arial" w:cs="Arial"/>
          <w:sz w:val="24"/>
          <w:szCs w:val="24"/>
        </w:rPr>
        <w:t xml:space="preserve"> en la figura </w:t>
      </w:r>
      <w:r w:rsidR="0049626A">
        <w:rPr>
          <w:rFonts w:ascii="Arial" w:hAnsi="Arial" w:cs="Arial"/>
          <w:sz w:val="24"/>
          <w:szCs w:val="24"/>
        </w:rPr>
        <w:t>4</w:t>
      </w:r>
      <w:r w:rsidR="000F2C44">
        <w:rPr>
          <w:rFonts w:ascii="Arial" w:hAnsi="Arial" w:cs="Arial"/>
          <w:sz w:val="24"/>
          <w:szCs w:val="24"/>
        </w:rPr>
        <w:t xml:space="preserve"> d) se muestra que</w:t>
      </w:r>
      <w:r>
        <w:rPr>
          <w:rFonts w:ascii="Arial" w:hAnsi="Arial" w:cs="Arial"/>
          <w:sz w:val="24"/>
          <w:szCs w:val="24"/>
        </w:rPr>
        <w:t xml:space="preserve"> en la parte superior se observa la morfología de la hidroxiapatita</w:t>
      </w:r>
      <w:r w:rsidR="000F2C44">
        <w:rPr>
          <w:rFonts w:ascii="Arial" w:hAnsi="Arial" w:cs="Arial"/>
          <w:sz w:val="24"/>
          <w:szCs w:val="24"/>
        </w:rPr>
        <w:t xml:space="preserve">, en la figura </w:t>
      </w:r>
      <w:r w:rsidR="0049626A">
        <w:rPr>
          <w:rFonts w:ascii="Arial" w:hAnsi="Arial" w:cs="Arial"/>
          <w:sz w:val="24"/>
          <w:szCs w:val="24"/>
        </w:rPr>
        <w:t>4</w:t>
      </w:r>
      <w:r w:rsidR="000F2C44">
        <w:rPr>
          <w:rFonts w:ascii="Arial" w:hAnsi="Arial" w:cs="Arial"/>
          <w:sz w:val="24"/>
          <w:szCs w:val="24"/>
        </w:rPr>
        <w:t xml:space="preserve"> e) </w:t>
      </w:r>
      <w:r w:rsidR="009E574C">
        <w:rPr>
          <w:rFonts w:ascii="Arial" w:hAnsi="Arial" w:cs="Arial"/>
          <w:sz w:val="24"/>
          <w:szCs w:val="24"/>
        </w:rPr>
        <w:t xml:space="preserve">se adjunta el </w:t>
      </w:r>
      <w:r w:rsidR="000F2C44">
        <w:rPr>
          <w:rFonts w:ascii="Arial" w:hAnsi="Arial" w:cs="Arial"/>
          <w:sz w:val="24"/>
          <w:szCs w:val="24"/>
        </w:rPr>
        <w:t>ED</w:t>
      </w:r>
      <w:r w:rsidR="009E574C">
        <w:rPr>
          <w:rFonts w:ascii="Arial" w:hAnsi="Arial" w:cs="Arial"/>
          <w:sz w:val="24"/>
          <w:szCs w:val="24"/>
        </w:rPr>
        <w:t>S de las esferas de alúmina-hidroxiapatita-cobre</w:t>
      </w:r>
      <w:r w:rsidR="000F2C44">
        <w:rPr>
          <w:rFonts w:ascii="Arial" w:hAnsi="Arial" w:cs="Arial"/>
          <w:sz w:val="24"/>
          <w:szCs w:val="24"/>
        </w:rPr>
        <w:t xml:space="preserve"> en donde </w:t>
      </w:r>
      <w:r w:rsidR="000F2C44" w:rsidRPr="000F2C44">
        <w:rPr>
          <w:rFonts w:ascii="Arial" w:hAnsi="Arial" w:cs="Arial"/>
          <w:sz w:val="24"/>
          <w:szCs w:val="24"/>
        </w:rPr>
        <w:t>se observa cómo se encuentra la alúmina en sinterización debido a que no se observa porosidad si no un reordenamiento de los granos</w:t>
      </w:r>
      <w:r w:rsidR="000F2C44">
        <w:rPr>
          <w:rFonts w:ascii="Arial" w:hAnsi="Arial" w:cs="Arial"/>
          <w:sz w:val="24"/>
          <w:szCs w:val="24"/>
        </w:rPr>
        <w:t xml:space="preserve">, </w:t>
      </w:r>
      <w:r w:rsidR="000F2C44" w:rsidRPr="000F2C44">
        <w:rPr>
          <w:rFonts w:ascii="Arial" w:hAnsi="Arial" w:cs="Arial"/>
          <w:sz w:val="24"/>
          <w:szCs w:val="24"/>
        </w:rPr>
        <w:t>mostrando</w:t>
      </w:r>
      <w:r w:rsidR="000F2C44">
        <w:rPr>
          <w:rFonts w:ascii="Arial" w:hAnsi="Arial" w:cs="Arial"/>
          <w:sz w:val="24"/>
          <w:szCs w:val="24"/>
        </w:rPr>
        <w:t xml:space="preserve"> tambien la</w:t>
      </w:r>
      <w:r w:rsidR="000F2C44" w:rsidRPr="000F2C44">
        <w:rPr>
          <w:rFonts w:ascii="Arial" w:hAnsi="Arial" w:cs="Arial"/>
          <w:sz w:val="24"/>
          <w:szCs w:val="24"/>
        </w:rPr>
        <w:t xml:space="preserve"> presencia de cobre en su mayoría, también presenta rastros de bario esto se debe a la solución utilizada para la fabricación de las esferas</w:t>
      </w:r>
      <w:r w:rsidR="000F2C44">
        <w:rPr>
          <w:rFonts w:ascii="Arial" w:hAnsi="Arial" w:cs="Arial"/>
          <w:sz w:val="24"/>
          <w:szCs w:val="24"/>
        </w:rPr>
        <w:t>.</w:t>
      </w:r>
    </w:p>
    <w:p w14:paraId="2FAA0A12" w14:textId="1C37E23A" w:rsidR="007848FA" w:rsidRDefault="009E574C" w:rsidP="00D444B9">
      <w:pPr>
        <w:spacing w:line="360" w:lineRule="auto"/>
        <w:jc w:val="both"/>
        <w:rPr>
          <w:rFonts w:ascii="Arial" w:hAnsi="Arial" w:cs="Arial"/>
          <w:sz w:val="24"/>
          <w:szCs w:val="24"/>
        </w:rPr>
      </w:pPr>
      <w:r>
        <w:rPr>
          <w:noProof/>
        </w:rPr>
        <w:lastRenderedPageBreak/>
        <w:drawing>
          <wp:inline distT="0" distB="0" distL="0" distR="0" wp14:anchorId="0308882A" wp14:editId="5B59B9C0">
            <wp:extent cx="5391150" cy="6119684"/>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6689" t="534" r="24556" b="1028"/>
                    <a:stretch/>
                  </pic:blipFill>
                  <pic:spPr bwMode="auto">
                    <a:xfrm>
                      <a:off x="0" y="0"/>
                      <a:ext cx="5397741" cy="6127165"/>
                    </a:xfrm>
                    <a:prstGeom prst="rect">
                      <a:avLst/>
                    </a:prstGeom>
                    <a:ln>
                      <a:noFill/>
                    </a:ln>
                    <a:extLst>
                      <a:ext uri="{53640926-AAD7-44D8-BBD7-CCE9431645EC}">
                        <a14:shadowObscured xmlns:a14="http://schemas.microsoft.com/office/drawing/2010/main"/>
                      </a:ext>
                    </a:extLst>
                  </pic:spPr>
                </pic:pic>
              </a:graphicData>
            </a:graphic>
          </wp:inline>
        </w:drawing>
      </w:r>
    </w:p>
    <w:p w14:paraId="35701D56" w14:textId="4EF42F41" w:rsidR="007848FA" w:rsidRDefault="007848FA" w:rsidP="00D444B9">
      <w:pPr>
        <w:spacing w:line="360" w:lineRule="auto"/>
        <w:jc w:val="both"/>
        <w:rPr>
          <w:rFonts w:ascii="Arial" w:hAnsi="Arial" w:cs="Arial"/>
          <w:sz w:val="20"/>
          <w:szCs w:val="20"/>
        </w:rPr>
      </w:pPr>
      <w:r w:rsidRPr="00D6557E">
        <w:rPr>
          <w:rFonts w:ascii="Arial" w:hAnsi="Arial" w:cs="Arial"/>
          <w:b/>
          <w:bCs/>
          <w:sz w:val="20"/>
          <w:szCs w:val="20"/>
        </w:rPr>
        <w:t xml:space="preserve">Figura </w:t>
      </w:r>
      <w:r w:rsidR="0049626A">
        <w:rPr>
          <w:rFonts w:ascii="Arial" w:hAnsi="Arial" w:cs="Arial"/>
          <w:b/>
          <w:bCs/>
          <w:sz w:val="20"/>
          <w:szCs w:val="20"/>
        </w:rPr>
        <w:t>4</w:t>
      </w:r>
      <w:r w:rsidRPr="00D6557E">
        <w:rPr>
          <w:rFonts w:ascii="Arial" w:hAnsi="Arial" w:cs="Arial"/>
          <w:b/>
          <w:bCs/>
          <w:sz w:val="20"/>
          <w:szCs w:val="20"/>
        </w:rPr>
        <w:t xml:space="preserve">. </w:t>
      </w:r>
      <w:r w:rsidR="00995D90" w:rsidRPr="00D6557E">
        <w:rPr>
          <w:rFonts w:ascii="Arial" w:hAnsi="Arial" w:cs="Arial"/>
          <w:sz w:val="20"/>
          <w:szCs w:val="20"/>
        </w:rPr>
        <w:t>Micrografía por SEM de las esferas de alúmina-hidroxiapatita-cobre a una concentración de 50 mM a) 3500 aumentos, b) 5 000 aumentos con un acercamiento a la zona partida de la esfera, c) 10 000 aumentos mostrando la morfología del centro de la esfera</w:t>
      </w:r>
      <w:r w:rsidR="009E574C">
        <w:rPr>
          <w:rFonts w:ascii="Arial" w:hAnsi="Arial" w:cs="Arial"/>
          <w:sz w:val="20"/>
          <w:szCs w:val="20"/>
        </w:rPr>
        <w:t>, d</w:t>
      </w:r>
      <w:r w:rsidR="00995D90" w:rsidRPr="00D6557E">
        <w:rPr>
          <w:rFonts w:ascii="Arial" w:hAnsi="Arial" w:cs="Arial"/>
          <w:sz w:val="20"/>
          <w:szCs w:val="20"/>
        </w:rPr>
        <w:t>) 10 000 aumentos mostrando la parte superior de la esfera</w:t>
      </w:r>
      <w:r w:rsidR="009E574C">
        <w:rPr>
          <w:rFonts w:ascii="Arial" w:hAnsi="Arial" w:cs="Arial"/>
          <w:sz w:val="20"/>
          <w:szCs w:val="20"/>
        </w:rPr>
        <w:t xml:space="preserve"> e)</w:t>
      </w:r>
      <w:r w:rsidR="009E574C" w:rsidRPr="009E574C">
        <w:t xml:space="preserve"> </w:t>
      </w:r>
      <w:r w:rsidR="009E574C" w:rsidRPr="009E574C">
        <w:rPr>
          <w:rFonts w:ascii="Arial" w:hAnsi="Arial" w:cs="Arial"/>
          <w:sz w:val="20"/>
          <w:szCs w:val="20"/>
        </w:rPr>
        <w:t>ED</w:t>
      </w:r>
      <w:r w:rsidR="009E574C">
        <w:rPr>
          <w:rFonts w:ascii="Arial" w:hAnsi="Arial" w:cs="Arial"/>
          <w:sz w:val="20"/>
          <w:szCs w:val="20"/>
        </w:rPr>
        <w:t>S</w:t>
      </w:r>
      <w:r w:rsidR="009E574C" w:rsidRPr="009E574C">
        <w:rPr>
          <w:rFonts w:ascii="Arial" w:hAnsi="Arial" w:cs="Arial"/>
          <w:sz w:val="20"/>
          <w:szCs w:val="20"/>
        </w:rPr>
        <w:t xml:space="preserve"> mostrando el porcentaje de material que contiene la esfera</w:t>
      </w:r>
      <w:r w:rsidR="00CF1349">
        <w:rPr>
          <w:rFonts w:ascii="Arial" w:hAnsi="Arial" w:cs="Arial"/>
          <w:sz w:val="20"/>
          <w:szCs w:val="20"/>
        </w:rPr>
        <w:t>.</w:t>
      </w:r>
    </w:p>
    <w:p w14:paraId="396882EC" w14:textId="77777777" w:rsidR="00E847E4" w:rsidRDefault="00E847E4" w:rsidP="00D444B9">
      <w:pPr>
        <w:spacing w:line="360" w:lineRule="auto"/>
        <w:jc w:val="both"/>
        <w:rPr>
          <w:rFonts w:ascii="Arial" w:hAnsi="Arial" w:cs="Arial"/>
          <w:sz w:val="24"/>
          <w:szCs w:val="24"/>
        </w:rPr>
      </w:pPr>
    </w:p>
    <w:p w14:paraId="5A52232C" w14:textId="77777777" w:rsidR="00E847E4" w:rsidRDefault="00E847E4" w:rsidP="00D444B9">
      <w:pPr>
        <w:spacing w:line="360" w:lineRule="auto"/>
        <w:jc w:val="both"/>
        <w:rPr>
          <w:rFonts w:ascii="Arial" w:hAnsi="Arial" w:cs="Arial"/>
          <w:sz w:val="24"/>
          <w:szCs w:val="24"/>
        </w:rPr>
      </w:pPr>
    </w:p>
    <w:p w14:paraId="5E8BEC82" w14:textId="797360B6" w:rsidR="00CF1349" w:rsidRPr="00CF1349" w:rsidRDefault="00CF1349" w:rsidP="00D444B9">
      <w:pPr>
        <w:spacing w:line="360" w:lineRule="auto"/>
        <w:jc w:val="both"/>
        <w:rPr>
          <w:rFonts w:ascii="Arial" w:hAnsi="Arial" w:cs="Arial"/>
          <w:sz w:val="24"/>
          <w:szCs w:val="24"/>
        </w:rPr>
      </w:pPr>
      <w:r w:rsidRPr="00CF1349">
        <w:rPr>
          <w:rFonts w:ascii="Arial" w:hAnsi="Arial" w:cs="Arial"/>
          <w:sz w:val="24"/>
          <w:szCs w:val="24"/>
        </w:rPr>
        <w:lastRenderedPageBreak/>
        <w:t>Por medio de un análisis de varianza de un</w:t>
      </w:r>
      <w:r>
        <w:rPr>
          <w:rFonts w:ascii="Arial" w:hAnsi="Arial" w:cs="Arial"/>
          <w:sz w:val="24"/>
          <w:szCs w:val="24"/>
        </w:rPr>
        <w:t xml:space="preserve"> factor</w:t>
      </w:r>
      <w:r w:rsidRPr="00CF1349">
        <w:rPr>
          <w:rFonts w:ascii="Arial" w:hAnsi="Arial" w:cs="Arial"/>
          <w:sz w:val="24"/>
          <w:szCs w:val="24"/>
        </w:rPr>
        <w:t xml:space="preserve">, un análisis de Tukey con un nivel de significancia de 0.05 y usando la absorbancia obtenida como variable de respuesta, se observó que desde la concentración de </w:t>
      </w:r>
      <w:r w:rsidR="00FB3D94">
        <w:rPr>
          <w:rFonts w:ascii="Arial" w:hAnsi="Arial" w:cs="Arial"/>
          <w:sz w:val="24"/>
          <w:szCs w:val="24"/>
        </w:rPr>
        <w:t xml:space="preserve">50 </w:t>
      </w:r>
      <w:r w:rsidRPr="00CF1349">
        <w:rPr>
          <w:rFonts w:ascii="Arial" w:hAnsi="Arial" w:cs="Arial"/>
          <w:sz w:val="24"/>
          <w:szCs w:val="24"/>
        </w:rPr>
        <w:t xml:space="preserve">mM se obtuvo un efecto significativo en la inhibición para </w:t>
      </w:r>
      <w:r w:rsidR="000F6484">
        <w:rPr>
          <w:rFonts w:ascii="Arial" w:hAnsi="Arial" w:cs="Arial"/>
          <w:i/>
          <w:iCs/>
          <w:sz w:val="24"/>
          <w:szCs w:val="24"/>
        </w:rPr>
        <w:t xml:space="preserve">Candida Albicans </w:t>
      </w:r>
      <w:r w:rsidR="00FB3D94">
        <w:rPr>
          <w:rFonts w:ascii="Arial" w:hAnsi="Arial" w:cs="Arial"/>
          <w:i/>
          <w:iCs/>
          <w:sz w:val="24"/>
          <w:szCs w:val="24"/>
        </w:rPr>
        <w:t xml:space="preserve">y </w:t>
      </w:r>
      <w:r w:rsidR="000F6484">
        <w:rPr>
          <w:rFonts w:ascii="Arial" w:hAnsi="Arial" w:cs="Arial"/>
          <w:i/>
          <w:iCs/>
          <w:sz w:val="24"/>
          <w:szCs w:val="24"/>
        </w:rPr>
        <w:t>Candida Tropicalis</w:t>
      </w:r>
      <w:r w:rsidRPr="00CF1349">
        <w:rPr>
          <w:rFonts w:ascii="Arial" w:hAnsi="Arial" w:cs="Arial"/>
          <w:sz w:val="24"/>
          <w:szCs w:val="24"/>
        </w:rPr>
        <w:t xml:space="preserve">, mientras que para </w:t>
      </w:r>
      <w:r w:rsidR="000F6484">
        <w:rPr>
          <w:rFonts w:ascii="Arial" w:hAnsi="Arial" w:cs="Arial"/>
          <w:i/>
          <w:iCs/>
          <w:sz w:val="24"/>
          <w:szCs w:val="24"/>
        </w:rPr>
        <w:t xml:space="preserve">Candida Glabrata </w:t>
      </w:r>
      <w:r w:rsidRPr="00CF1349">
        <w:rPr>
          <w:rFonts w:ascii="Arial" w:hAnsi="Arial" w:cs="Arial"/>
          <w:sz w:val="24"/>
          <w:szCs w:val="24"/>
        </w:rPr>
        <w:t>no</w:t>
      </w:r>
      <w:r w:rsidR="00FB3D94">
        <w:rPr>
          <w:rFonts w:ascii="Arial" w:hAnsi="Arial" w:cs="Arial"/>
          <w:sz w:val="24"/>
          <w:szCs w:val="24"/>
        </w:rPr>
        <w:t xml:space="preserve"> muestra una</w:t>
      </w:r>
      <w:r w:rsidRPr="00CF1349">
        <w:rPr>
          <w:rFonts w:ascii="Arial" w:hAnsi="Arial" w:cs="Arial"/>
          <w:sz w:val="24"/>
          <w:szCs w:val="24"/>
        </w:rPr>
        <w:t xml:space="preserve"> diferencia significativa entre la concentración</w:t>
      </w:r>
      <w:r w:rsidR="000F6484">
        <w:rPr>
          <w:rFonts w:ascii="Arial" w:hAnsi="Arial" w:cs="Arial"/>
          <w:sz w:val="24"/>
          <w:szCs w:val="24"/>
        </w:rPr>
        <w:t xml:space="preserve"> de 50 mM y 25 mM pero si muestra una diferencia significativa entre la concentración más baja y la de 200 mM</w:t>
      </w:r>
      <w:r w:rsidRPr="00CF1349">
        <w:rPr>
          <w:rFonts w:ascii="Arial" w:hAnsi="Arial" w:cs="Arial"/>
          <w:sz w:val="24"/>
          <w:szCs w:val="24"/>
        </w:rPr>
        <w:t xml:space="preserve">, mientras que </w:t>
      </w:r>
      <w:r w:rsidR="000F6484">
        <w:rPr>
          <w:rFonts w:ascii="Arial" w:hAnsi="Arial" w:cs="Arial"/>
          <w:i/>
          <w:iCs/>
          <w:sz w:val="24"/>
          <w:szCs w:val="24"/>
        </w:rPr>
        <w:t>Candida Dubliniensis</w:t>
      </w:r>
      <w:r w:rsidR="000F6484" w:rsidRPr="00CF1349">
        <w:rPr>
          <w:rFonts w:ascii="Arial" w:hAnsi="Arial" w:cs="Arial"/>
          <w:sz w:val="24"/>
          <w:szCs w:val="24"/>
        </w:rPr>
        <w:t xml:space="preserve"> </w:t>
      </w:r>
      <w:r w:rsidRPr="00CF1349">
        <w:rPr>
          <w:rFonts w:ascii="Arial" w:hAnsi="Arial" w:cs="Arial"/>
          <w:sz w:val="24"/>
          <w:szCs w:val="24"/>
        </w:rPr>
        <w:t xml:space="preserve">no tiene diferencia significativa entre las concentraciones y </w:t>
      </w:r>
      <w:r w:rsidR="00FB3D94">
        <w:rPr>
          <w:rFonts w:ascii="Arial" w:hAnsi="Arial" w:cs="Arial"/>
          <w:sz w:val="24"/>
          <w:szCs w:val="24"/>
        </w:rPr>
        <w:t>el control</w:t>
      </w:r>
      <w:r w:rsidR="00D353FF">
        <w:rPr>
          <w:rFonts w:ascii="Arial" w:hAnsi="Arial" w:cs="Arial"/>
          <w:sz w:val="24"/>
          <w:szCs w:val="24"/>
        </w:rPr>
        <w:t>, los resultados antes mencionados se muestran en la figura 5</w:t>
      </w:r>
      <w:r w:rsidR="00FB3D94">
        <w:rPr>
          <w:rFonts w:ascii="Arial" w:hAnsi="Arial" w:cs="Arial"/>
          <w:sz w:val="24"/>
          <w:szCs w:val="24"/>
        </w:rPr>
        <w:t xml:space="preserve">. </w:t>
      </w:r>
      <w:r w:rsidRPr="00CF1349">
        <w:rPr>
          <w:rFonts w:ascii="Arial" w:hAnsi="Arial" w:cs="Arial"/>
          <w:sz w:val="24"/>
          <w:szCs w:val="24"/>
        </w:rPr>
        <w:t xml:space="preserve"> </w:t>
      </w:r>
    </w:p>
    <w:p w14:paraId="56D1EDA8" w14:textId="2C1D22F9" w:rsidR="00CF1349" w:rsidRDefault="00CF1349" w:rsidP="00CF1349">
      <w:pPr>
        <w:spacing w:line="360" w:lineRule="auto"/>
        <w:jc w:val="center"/>
        <w:rPr>
          <w:rFonts w:ascii="Arial" w:hAnsi="Arial" w:cs="Arial"/>
          <w:sz w:val="20"/>
          <w:szCs w:val="20"/>
        </w:rPr>
      </w:pPr>
      <w:r>
        <w:rPr>
          <w:noProof/>
        </w:rPr>
        <w:drawing>
          <wp:inline distT="0" distB="0" distL="0" distR="0" wp14:anchorId="69303578" wp14:editId="0D9F1CB6">
            <wp:extent cx="3718901" cy="3155230"/>
            <wp:effectExtent l="0" t="0" r="0" b="762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BEBA8EAE-BF5A-486C-A8C5-ECC9F3942E4B}">
                          <a14:imgProps xmlns:a14="http://schemas.microsoft.com/office/drawing/2010/main">
                            <a14:imgLayer r:embed="rId15">
                              <a14:imgEffect>
                                <a14:sharpenSoften amount="50000"/>
                              </a14:imgEffect>
                            </a14:imgLayer>
                          </a14:imgProps>
                        </a:ext>
                      </a:extLst>
                    </a:blip>
                    <a:srcRect l="9363" r="24370"/>
                    <a:stretch/>
                  </pic:blipFill>
                  <pic:spPr bwMode="auto">
                    <a:xfrm>
                      <a:off x="0" y="0"/>
                      <a:ext cx="3719001" cy="3155315"/>
                    </a:xfrm>
                    <a:prstGeom prst="rect">
                      <a:avLst/>
                    </a:prstGeom>
                    <a:ln>
                      <a:noFill/>
                    </a:ln>
                    <a:extLst>
                      <a:ext uri="{53640926-AAD7-44D8-BBD7-CCE9431645EC}">
                        <a14:shadowObscured xmlns:a14="http://schemas.microsoft.com/office/drawing/2010/main"/>
                      </a:ext>
                    </a:extLst>
                  </pic:spPr>
                </pic:pic>
              </a:graphicData>
            </a:graphic>
          </wp:inline>
        </w:drawing>
      </w:r>
    </w:p>
    <w:p w14:paraId="74D36E6A" w14:textId="7B5CA247" w:rsidR="00CF1349" w:rsidRPr="00CF1349" w:rsidRDefault="00CF1349" w:rsidP="00CF1349">
      <w:pPr>
        <w:spacing w:line="360" w:lineRule="auto"/>
        <w:rPr>
          <w:rFonts w:ascii="Arial" w:hAnsi="Arial" w:cs="Arial"/>
          <w:sz w:val="20"/>
          <w:szCs w:val="20"/>
        </w:rPr>
      </w:pPr>
      <w:r>
        <w:rPr>
          <w:rFonts w:ascii="Arial" w:hAnsi="Arial" w:cs="Arial"/>
          <w:b/>
          <w:bCs/>
          <w:sz w:val="20"/>
          <w:szCs w:val="20"/>
        </w:rPr>
        <w:t xml:space="preserve">Figura </w:t>
      </w:r>
      <w:r w:rsidR="00D353FF">
        <w:rPr>
          <w:rFonts w:ascii="Arial" w:hAnsi="Arial" w:cs="Arial"/>
          <w:b/>
          <w:bCs/>
          <w:sz w:val="20"/>
          <w:szCs w:val="20"/>
        </w:rPr>
        <w:t>5</w:t>
      </w:r>
      <w:r>
        <w:rPr>
          <w:rFonts w:ascii="Arial" w:hAnsi="Arial" w:cs="Arial"/>
          <w:b/>
          <w:bCs/>
          <w:sz w:val="20"/>
          <w:szCs w:val="20"/>
        </w:rPr>
        <w:t xml:space="preserve">. </w:t>
      </w:r>
      <w:r w:rsidRPr="00CF1349">
        <w:rPr>
          <w:rFonts w:ascii="Arial" w:hAnsi="Arial" w:cs="Arial"/>
          <w:sz w:val="20"/>
          <w:szCs w:val="20"/>
        </w:rPr>
        <w:t>Box</w:t>
      </w:r>
      <w:r>
        <w:rPr>
          <w:rFonts w:ascii="Arial" w:hAnsi="Arial" w:cs="Arial"/>
          <w:sz w:val="20"/>
          <w:szCs w:val="20"/>
        </w:rPr>
        <w:t>-</w:t>
      </w:r>
      <w:r w:rsidRPr="00CF1349">
        <w:rPr>
          <w:rFonts w:ascii="Arial" w:hAnsi="Arial" w:cs="Arial"/>
          <w:sz w:val="20"/>
          <w:szCs w:val="20"/>
        </w:rPr>
        <w:t>Plot de la inhibición de l</w:t>
      </w:r>
      <w:r>
        <w:rPr>
          <w:rFonts w:ascii="Arial" w:hAnsi="Arial" w:cs="Arial"/>
          <w:sz w:val="20"/>
          <w:szCs w:val="20"/>
        </w:rPr>
        <w:t xml:space="preserve">as esferas de alúmina-hidroxiapatita-cobre por medio del método de turbidimetría en a) </w:t>
      </w:r>
      <w:r w:rsidRPr="00CF1349">
        <w:rPr>
          <w:rFonts w:ascii="Arial" w:hAnsi="Arial" w:cs="Arial"/>
          <w:i/>
          <w:iCs/>
          <w:sz w:val="20"/>
          <w:szCs w:val="20"/>
        </w:rPr>
        <w:t>Candida Albicans</w:t>
      </w:r>
      <w:r>
        <w:rPr>
          <w:rFonts w:ascii="Arial" w:hAnsi="Arial" w:cs="Arial"/>
          <w:sz w:val="20"/>
          <w:szCs w:val="20"/>
        </w:rPr>
        <w:t xml:space="preserve">, b) </w:t>
      </w:r>
      <w:r w:rsidRPr="00CF1349">
        <w:rPr>
          <w:rFonts w:ascii="Arial" w:hAnsi="Arial" w:cs="Arial"/>
          <w:i/>
          <w:iCs/>
          <w:sz w:val="20"/>
          <w:szCs w:val="20"/>
        </w:rPr>
        <w:t>Candida Dubliniensis</w:t>
      </w:r>
      <w:r>
        <w:rPr>
          <w:rFonts w:ascii="Arial" w:hAnsi="Arial" w:cs="Arial"/>
          <w:sz w:val="20"/>
          <w:szCs w:val="20"/>
        </w:rPr>
        <w:t xml:space="preserve">, c) </w:t>
      </w:r>
      <w:r w:rsidRPr="00CF1349">
        <w:rPr>
          <w:rFonts w:ascii="Arial" w:hAnsi="Arial" w:cs="Arial"/>
          <w:i/>
          <w:iCs/>
          <w:sz w:val="20"/>
          <w:szCs w:val="20"/>
        </w:rPr>
        <w:t>Candida Tropicalis</w:t>
      </w:r>
      <w:r>
        <w:rPr>
          <w:rFonts w:ascii="Arial" w:hAnsi="Arial" w:cs="Arial"/>
          <w:sz w:val="20"/>
          <w:szCs w:val="20"/>
        </w:rPr>
        <w:t xml:space="preserve"> y d) </w:t>
      </w:r>
      <w:r w:rsidRPr="00CF1349">
        <w:rPr>
          <w:rFonts w:ascii="Arial" w:hAnsi="Arial" w:cs="Arial"/>
          <w:i/>
          <w:iCs/>
          <w:sz w:val="20"/>
          <w:szCs w:val="20"/>
        </w:rPr>
        <w:t xml:space="preserve">Candida </w:t>
      </w:r>
      <w:r>
        <w:rPr>
          <w:rFonts w:ascii="Arial" w:hAnsi="Arial" w:cs="Arial"/>
          <w:i/>
          <w:iCs/>
          <w:sz w:val="20"/>
          <w:szCs w:val="20"/>
        </w:rPr>
        <w:t>G</w:t>
      </w:r>
      <w:r w:rsidRPr="00CF1349">
        <w:rPr>
          <w:rFonts w:ascii="Arial" w:hAnsi="Arial" w:cs="Arial"/>
          <w:i/>
          <w:iCs/>
          <w:sz w:val="20"/>
          <w:szCs w:val="20"/>
        </w:rPr>
        <w:t>labrata.</w:t>
      </w:r>
    </w:p>
    <w:p w14:paraId="0042ADB9" w14:textId="77777777" w:rsidR="00E847E4" w:rsidRDefault="00E847E4" w:rsidP="00D444B9">
      <w:pPr>
        <w:spacing w:line="360" w:lineRule="auto"/>
        <w:jc w:val="both"/>
        <w:rPr>
          <w:rFonts w:ascii="Arial" w:hAnsi="Arial" w:cs="Arial"/>
          <w:b/>
          <w:bCs/>
          <w:sz w:val="24"/>
          <w:szCs w:val="24"/>
        </w:rPr>
      </w:pPr>
    </w:p>
    <w:p w14:paraId="76915275" w14:textId="1C1C2EF8" w:rsidR="00E72192" w:rsidRPr="009E574C" w:rsidRDefault="00E72192" w:rsidP="00D444B9">
      <w:pPr>
        <w:spacing w:line="360" w:lineRule="auto"/>
        <w:jc w:val="both"/>
        <w:rPr>
          <w:rFonts w:ascii="Arial" w:hAnsi="Arial" w:cs="Arial"/>
          <w:b/>
          <w:bCs/>
          <w:sz w:val="32"/>
          <w:szCs w:val="32"/>
        </w:rPr>
      </w:pPr>
      <w:r w:rsidRPr="009E574C">
        <w:rPr>
          <w:rFonts w:ascii="Arial" w:hAnsi="Arial" w:cs="Arial"/>
          <w:b/>
          <w:bCs/>
          <w:sz w:val="24"/>
          <w:szCs w:val="24"/>
        </w:rPr>
        <w:t>Conclusiones</w:t>
      </w:r>
    </w:p>
    <w:p w14:paraId="5E85B5E4" w14:textId="53239295" w:rsidR="00FB3D94" w:rsidRPr="00E847E4" w:rsidRDefault="003F1854" w:rsidP="00FB3D94">
      <w:pPr>
        <w:spacing w:line="360" w:lineRule="auto"/>
        <w:jc w:val="both"/>
        <w:rPr>
          <w:rFonts w:ascii="Arial" w:hAnsi="Arial" w:cs="Arial"/>
          <w:b/>
          <w:bCs/>
          <w:sz w:val="24"/>
          <w:szCs w:val="24"/>
        </w:rPr>
      </w:pPr>
      <w:r>
        <w:rPr>
          <w:rFonts w:ascii="Arial" w:hAnsi="Arial" w:cs="Arial"/>
          <w:sz w:val="24"/>
          <w:szCs w:val="24"/>
        </w:rPr>
        <w:t>Finalmente m</w:t>
      </w:r>
      <w:r w:rsidRPr="003F1854">
        <w:rPr>
          <w:rFonts w:ascii="Arial" w:hAnsi="Arial" w:cs="Arial"/>
          <w:sz w:val="24"/>
          <w:szCs w:val="24"/>
        </w:rPr>
        <w:t xml:space="preserve">ediante el método de encapsulación iónica se obtuvieron esferas de </w:t>
      </w:r>
      <w:r w:rsidR="00E72192">
        <w:rPr>
          <w:rFonts w:ascii="Arial" w:hAnsi="Arial" w:cs="Arial"/>
          <w:sz w:val="24"/>
          <w:szCs w:val="24"/>
        </w:rPr>
        <w:t xml:space="preserve">alfa-alúmina </w:t>
      </w:r>
      <w:r w:rsidRPr="003F1854">
        <w:rPr>
          <w:rFonts w:ascii="Arial" w:hAnsi="Arial" w:cs="Arial"/>
          <w:sz w:val="24"/>
          <w:szCs w:val="24"/>
        </w:rPr>
        <w:t>alúmina con una esfericidad de 0.8 y de una densidad de 2.1 g/cm3</w:t>
      </w:r>
      <w:r w:rsidR="005C6B51">
        <w:rPr>
          <w:rFonts w:ascii="Arial" w:hAnsi="Arial" w:cs="Arial"/>
          <w:sz w:val="24"/>
          <w:szCs w:val="24"/>
        </w:rPr>
        <w:t xml:space="preserve"> contando con una porosidad </w:t>
      </w:r>
      <w:r w:rsidR="005C6B51" w:rsidRPr="003F1854">
        <w:rPr>
          <w:rFonts w:ascii="Arial" w:hAnsi="Arial" w:cs="Arial"/>
          <w:sz w:val="24"/>
          <w:szCs w:val="24"/>
        </w:rPr>
        <w:t xml:space="preserve">de 34 % de acuerdo con las propiedades físicas y las </w:t>
      </w:r>
      <w:r w:rsidR="005C6B51" w:rsidRPr="003F1854">
        <w:rPr>
          <w:rFonts w:ascii="Arial" w:hAnsi="Arial" w:cs="Arial"/>
          <w:sz w:val="24"/>
          <w:szCs w:val="24"/>
        </w:rPr>
        <w:lastRenderedPageBreak/>
        <w:t>micrografías obtenidas en</w:t>
      </w:r>
      <w:r w:rsidR="00C67862">
        <w:rPr>
          <w:rFonts w:ascii="Arial" w:hAnsi="Arial" w:cs="Arial"/>
          <w:sz w:val="24"/>
          <w:szCs w:val="24"/>
        </w:rPr>
        <w:t xml:space="preserve"> SEM</w:t>
      </w:r>
      <w:r w:rsidR="00E72192">
        <w:rPr>
          <w:rFonts w:ascii="Arial" w:hAnsi="Arial" w:cs="Arial"/>
          <w:sz w:val="24"/>
          <w:szCs w:val="24"/>
        </w:rPr>
        <w:t xml:space="preserve">, las </w:t>
      </w:r>
      <w:r w:rsidR="00C67862">
        <w:rPr>
          <w:rFonts w:ascii="Arial" w:hAnsi="Arial" w:cs="Arial"/>
          <w:sz w:val="24"/>
          <w:szCs w:val="24"/>
        </w:rPr>
        <w:t>esferas</w:t>
      </w:r>
      <w:r w:rsidR="00E72192">
        <w:rPr>
          <w:rFonts w:ascii="Arial" w:hAnsi="Arial" w:cs="Arial"/>
          <w:sz w:val="24"/>
          <w:szCs w:val="24"/>
        </w:rPr>
        <w:t xml:space="preserve"> fueron revestidas por una solución de hidroxiapatita en sol-gel </w:t>
      </w:r>
      <w:r w:rsidR="00E72192" w:rsidRPr="003F1854">
        <w:rPr>
          <w:rFonts w:ascii="Arial" w:hAnsi="Arial" w:cs="Arial"/>
          <w:sz w:val="24"/>
          <w:szCs w:val="24"/>
        </w:rPr>
        <w:t>donde la cubierta se caracterizó por microscopia electrónica, IR y DRX obteniendo bandas y señales correspondientes a los grupos fosfato, carbonato e hidroxilos</w:t>
      </w:r>
      <w:r w:rsidR="00E72192">
        <w:rPr>
          <w:rFonts w:ascii="Arial" w:hAnsi="Arial" w:cs="Arial"/>
          <w:sz w:val="24"/>
          <w:szCs w:val="24"/>
        </w:rPr>
        <w:t>.</w:t>
      </w:r>
      <w:r w:rsidR="005C6B51">
        <w:rPr>
          <w:rFonts w:ascii="Arial" w:hAnsi="Arial" w:cs="Arial"/>
          <w:sz w:val="24"/>
          <w:szCs w:val="24"/>
        </w:rPr>
        <w:t xml:space="preserve"> </w:t>
      </w:r>
      <w:r w:rsidR="00C67862">
        <w:rPr>
          <w:rFonts w:ascii="Arial" w:hAnsi="Arial" w:cs="Arial"/>
          <w:sz w:val="24"/>
          <w:szCs w:val="24"/>
        </w:rPr>
        <w:t xml:space="preserve">El dopaje de iones de cobre en las esferas de alúmina-hidroxiapatita se llevó a cabo por adsorción simple. </w:t>
      </w:r>
      <w:r w:rsidR="00FB3D94" w:rsidRPr="00FB3D94">
        <w:rPr>
          <w:rFonts w:ascii="Arial" w:hAnsi="Arial" w:cs="Arial"/>
          <w:sz w:val="24"/>
          <w:szCs w:val="24"/>
        </w:rPr>
        <w:t xml:space="preserve">Se comprobó que los iones de cobre sobre la superficie de las esferas de alúmina </w:t>
      </w:r>
      <w:r w:rsidR="00FB3D94">
        <w:rPr>
          <w:rFonts w:ascii="Arial" w:hAnsi="Arial" w:cs="Arial"/>
          <w:sz w:val="24"/>
          <w:szCs w:val="24"/>
        </w:rPr>
        <w:t>recubiertas de hidroxiapatita le brindaron las</w:t>
      </w:r>
      <w:r w:rsidR="00FB3D94" w:rsidRPr="00FB3D94">
        <w:rPr>
          <w:rFonts w:ascii="Arial" w:hAnsi="Arial" w:cs="Arial"/>
          <w:sz w:val="24"/>
          <w:szCs w:val="24"/>
        </w:rPr>
        <w:t xml:space="preserve"> propiedades </w:t>
      </w:r>
      <w:r w:rsidR="000F6484" w:rsidRPr="00FB3D94">
        <w:rPr>
          <w:rFonts w:ascii="Arial" w:hAnsi="Arial" w:cs="Arial"/>
          <w:sz w:val="24"/>
          <w:szCs w:val="24"/>
        </w:rPr>
        <w:t>anti</w:t>
      </w:r>
      <w:r w:rsidR="000F6484">
        <w:rPr>
          <w:rFonts w:ascii="Arial" w:hAnsi="Arial" w:cs="Arial"/>
          <w:sz w:val="24"/>
          <w:szCs w:val="24"/>
        </w:rPr>
        <w:t>fúngicas</w:t>
      </w:r>
      <w:r w:rsidR="00FB3D94" w:rsidRPr="00FB3D94">
        <w:rPr>
          <w:rFonts w:ascii="Arial" w:hAnsi="Arial" w:cs="Arial"/>
          <w:sz w:val="24"/>
          <w:szCs w:val="24"/>
        </w:rPr>
        <w:t xml:space="preserve"> contra las cepas </w:t>
      </w:r>
      <w:r w:rsidR="00FB3D94">
        <w:rPr>
          <w:rFonts w:ascii="Arial" w:hAnsi="Arial" w:cs="Arial"/>
          <w:sz w:val="24"/>
          <w:szCs w:val="24"/>
        </w:rPr>
        <w:t xml:space="preserve">de </w:t>
      </w:r>
      <w:r w:rsidR="00FB3D94" w:rsidRPr="00FB3D94">
        <w:rPr>
          <w:rFonts w:ascii="Arial" w:hAnsi="Arial" w:cs="Arial"/>
          <w:i/>
          <w:iCs/>
          <w:sz w:val="24"/>
          <w:szCs w:val="24"/>
        </w:rPr>
        <w:t>Candida Albicans, Candida Dubliniensis, Candida Tropicalis y Candida Glabrata.</w:t>
      </w:r>
      <w:r w:rsidR="00E847E4">
        <w:rPr>
          <w:rFonts w:ascii="Arial" w:hAnsi="Arial" w:cs="Arial"/>
          <w:i/>
          <w:iCs/>
          <w:sz w:val="24"/>
          <w:szCs w:val="24"/>
        </w:rPr>
        <w:t xml:space="preserve"> </w:t>
      </w:r>
      <w:r w:rsidR="00FB3D94" w:rsidRPr="000F6484">
        <w:rPr>
          <w:rFonts w:ascii="Arial" w:hAnsi="Arial" w:cs="Arial"/>
          <w:i/>
          <w:iCs/>
          <w:sz w:val="24"/>
          <w:szCs w:val="24"/>
        </w:rPr>
        <w:t xml:space="preserve">Candida </w:t>
      </w:r>
      <w:r w:rsidR="000F6484" w:rsidRPr="000F6484">
        <w:rPr>
          <w:rFonts w:ascii="Arial" w:hAnsi="Arial" w:cs="Arial"/>
          <w:i/>
          <w:iCs/>
          <w:sz w:val="24"/>
          <w:szCs w:val="24"/>
        </w:rPr>
        <w:t>Dubliniensis</w:t>
      </w:r>
      <w:r w:rsidR="000F6484">
        <w:rPr>
          <w:rFonts w:ascii="Arial" w:hAnsi="Arial" w:cs="Arial"/>
          <w:sz w:val="24"/>
          <w:szCs w:val="24"/>
        </w:rPr>
        <w:t xml:space="preserve"> </w:t>
      </w:r>
      <w:r w:rsidR="00FB3D94" w:rsidRPr="00FB3D94">
        <w:rPr>
          <w:rFonts w:ascii="Arial" w:hAnsi="Arial" w:cs="Arial"/>
          <w:sz w:val="24"/>
          <w:szCs w:val="24"/>
        </w:rPr>
        <w:t xml:space="preserve">es </w:t>
      </w:r>
      <w:r w:rsidR="00D353FF">
        <w:rPr>
          <w:rFonts w:ascii="Arial" w:hAnsi="Arial" w:cs="Arial"/>
          <w:sz w:val="24"/>
          <w:szCs w:val="24"/>
        </w:rPr>
        <w:t xml:space="preserve">el hongo </w:t>
      </w:r>
      <w:r w:rsidR="00FB3D94" w:rsidRPr="00FB3D94">
        <w:rPr>
          <w:rFonts w:ascii="Arial" w:hAnsi="Arial" w:cs="Arial"/>
          <w:sz w:val="24"/>
          <w:szCs w:val="24"/>
        </w:rPr>
        <w:t xml:space="preserve">más </w:t>
      </w:r>
      <w:r w:rsidR="00D353FF">
        <w:rPr>
          <w:rFonts w:ascii="Arial" w:hAnsi="Arial" w:cs="Arial"/>
          <w:sz w:val="24"/>
          <w:szCs w:val="24"/>
        </w:rPr>
        <w:t>resistente</w:t>
      </w:r>
      <w:r w:rsidR="00FB3D94" w:rsidRPr="00FB3D94">
        <w:rPr>
          <w:rFonts w:ascii="Arial" w:hAnsi="Arial" w:cs="Arial"/>
          <w:sz w:val="24"/>
          <w:szCs w:val="24"/>
        </w:rPr>
        <w:t xml:space="preserve"> al composito analizado debido a que </w:t>
      </w:r>
      <w:r w:rsidR="000F6484">
        <w:rPr>
          <w:rFonts w:ascii="Arial" w:hAnsi="Arial" w:cs="Arial"/>
          <w:sz w:val="24"/>
          <w:szCs w:val="24"/>
        </w:rPr>
        <w:t xml:space="preserve">en cada concentración aplicada esta </w:t>
      </w:r>
      <w:r w:rsidR="00D353FF">
        <w:rPr>
          <w:rFonts w:ascii="Arial" w:hAnsi="Arial" w:cs="Arial"/>
          <w:sz w:val="24"/>
          <w:szCs w:val="24"/>
        </w:rPr>
        <w:t xml:space="preserve">no mostro una inhibición significativa </w:t>
      </w:r>
      <w:r w:rsidR="000F6484">
        <w:rPr>
          <w:rFonts w:ascii="Arial" w:hAnsi="Arial" w:cs="Arial"/>
          <w:sz w:val="24"/>
          <w:szCs w:val="24"/>
        </w:rPr>
        <w:t xml:space="preserve">en </w:t>
      </w:r>
      <w:r w:rsidR="00D353FF">
        <w:rPr>
          <w:rFonts w:ascii="Arial" w:hAnsi="Arial" w:cs="Arial"/>
          <w:sz w:val="24"/>
          <w:szCs w:val="24"/>
        </w:rPr>
        <w:t>las concentraciones de los</w:t>
      </w:r>
      <w:r w:rsidR="000F6484">
        <w:rPr>
          <w:rFonts w:ascii="Arial" w:hAnsi="Arial" w:cs="Arial"/>
          <w:sz w:val="24"/>
          <w:szCs w:val="24"/>
        </w:rPr>
        <w:t xml:space="preserve"> iones de cobre</w:t>
      </w:r>
      <w:r w:rsidR="00D353FF">
        <w:rPr>
          <w:rFonts w:ascii="Arial" w:hAnsi="Arial" w:cs="Arial"/>
          <w:sz w:val="24"/>
          <w:szCs w:val="24"/>
        </w:rPr>
        <w:t xml:space="preserve"> utilizados</w:t>
      </w:r>
      <w:r w:rsidR="00FB3D94" w:rsidRPr="00FB3D94">
        <w:rPr>
          <w:rFonts w:ascii="Arial" w:hAnsi="Arial" w:cs="Arial"/>
          <w:sz w:val="24"/>
          <w:szCs w:val="24"/>
        </w:rPr>
        <w:t>.</w:t>
      </w:r>
    </w:p>
    <w:p w14:paraId="18CCF4B7" w14:textId="7A97BC67" w:rsidR="00E847E4" w:rsidRPr="00E847E4" w:rsidRDefault="00E847E4" w:rsidP="00FB3D94">
      <w:pPr>
        <w:spacing w:line="360" w:lineRule="auto"/>
        <w:jc w:val="both"/>
        <w:rPr>
          <w:rFonts w:ascii="Arial" w:hAnsi="Arial" w:cs="Arial"/>
          <w:b/>
          <w:bCs/>
          <w:sz w:val="24"/>
          <w:szCs w:val="24"/>
        </w:rPr>
      </w:pPr>
      <w:r w:rsidRPr="00E847E4">
        <w:rPr>
          <w:rFonts w:ascii="Arial" w:hAnsi="Arial" w:cs="Arial"/>
          <w:b/>
          <w:bCs/>
          <w:sz w:val="24"/>
          <w:szCs w:val="24"/>
        </w:rPr>
        <w:t>Aportaciones</w:t>
      </w:r>
    </w:p>
    <w:p w14:paraId="3CD0836B" w14:textId="66B3BFAB" w:rsidR="00C67862" w:rsidRPr="00942B55" w:rsidRDefault="00FB3D94" w:rsidP="00FB3D94">
      <w:pPr>
        <w:spacing w:line="360" w:lineRule="auto"/>
        <w:jc w:val="both"/>
        <w:rPr>
          <w:rFonts w:ascii="Arial" w:hAnsi="Arial" w:cs="Arial"/>
          <w:sz w:val="24"/>
          <w:szCs w:val="24"/>
        </w:rPr>
      </w:pPr>
      <w:r w:rsidRPr="00FB3D94">
        <w:rPr>
          <w:rFonts w:ascii="Arial" w:hAnsi="Arial" w:cs="Arial"/>
          <w:sz w:val="24"/>
          <w:szCs w:val="24"/>
        </w:rPr>
        <w:t xml:space="preserve">A la concentración de cobre de 200 mM </w:t>
      </w:r>
      <w:r>
        <w:rPr>
          <w:rFonts w:ascii="Arial" w:hAnsi="Arial" w:cs="Arial"/>
          <w:sz w:val="24"/>
          <w:szCs w:val="24"/>
        </w:rPr>
        <w:t xml:space="preserve">los hongos que presentaron una mayor inhibición fueron </w:t>
      </w:r>
      <w:r w:rsidR="000F6484" w:rsidRPr="000F6484">
        <w:rPr>
          <w:rFonts w:ascii="Arial" w:hAnsi="Arial" w:cs="Arial"/>
          <w:i/>
          <w:iCs/>
          <w:sz w:val="24"/>
          <w:szCs w:val="24"/>
        </w:rPr>
        <w:t xml:space="preserve">Candida Albicans </w:t>
      </w:r>
      <w:r w:rsidR="000F6484">
        <w:rPr>
          <w:rFonts w:ascii="Arial" w:hAnsi="Arial" w:cs="Arial"/>
          <w:i/>
          <w:iCs/>
          <w:sz w:val="24"/>
          <w:szCs w:val="24"/>
        </w:rPr>
        <w:t>y</w:t>
      </w:r>
      <w:r w:rsidR="000F6484" w:rsidRPr="000F6484">
        <w:rPr>
          <w:rFonts w:ascii="Arial" w:hAnsi="Arial" w:cs="Arial"/>
          <w:i/>
          <w:iCs/>
          <w:sz w:val="24"/>
          <w:szCs w:val="24"/>
        </w:rPr>
        <w:t xml:space="preserve"> Candida Glabrata</w:t>
      </w:r>
      <w:r w:rsidR="000F6484">
        <w:rPr>
          <w:rFonts w:ascii="Arial" w:hAnsi="Arial" w:cs="Arial"/>
          <w:sz w:val="24"/>
          <w:szCs w:val="24"/>
        </w:rPr>
        <w:t xml:space="preserve"> </w:t>
      </w:r>
      <w:r w:rsidRPr="00FB3D94">
        <w:rPr>
          <w:rFonts w:ascii="Arial" w:hAnsi="Arial" w:cs="Arial"/>
          <w:sz w:val="24"/>
          <w:szCs w:val="24"/>
        </w:rPr>
        <w:t>por lo cual este composito podría ser utilizado como un</w:t>
      </w:r>
      <w:r w:rsidR="000F6484">
        <w:rPr>
          <w:rFonts w:ascii="Arial" w:hAnsi="Arial" w:cs="Arial"/>
          <w:sz w:val="24"/>
          <w:szCs w:val="24"/>
        </w:rPr>
        <w:t xml:space="preserve">a alternativa para aplicaciones odontológicas o medicas como prótesis dentales o dispositivos médicos para evitar las infecciones nosocomiales por estos patógenos. </w:t>
      </w:r>
    </w:p>
    <w:p w14:paraId="3AA1AB32" w14:textId="1404CEB8" w:rsidR="00E72192" w:rsidRDefault="00E72192" w:rsidP="00E72192">
      <w:pPr>
        <w:spacing w:line="360" w:lineRule="auto"/>
        <w:jc w:val="both"/>
        <w:rPr>
          <w:rFonts w:ascii="Arial" w:hAnsi="Arial" w:cs="Arial"/>
          <w:sz w:val="24"/>
          <w:szCs w:val="24"/>
        </w:rPr>
      </w:pPr>
    </w:p>
    <w:p w14:paraId="035A0A7D" w14:textId="0DB7D7C1" w:rsidR="003B3055" w:rsidRPr="003B3055" w:rsidRDefault="003B3055" w:rsidP="00D444B9">
      <w:pPr>
        <w:spacing w:line="360" w:lineRule="auto"/>
        <w:jc w:val="both"/>
        <w:rPr>
          <w:rFonts w:ascii="Arial" w:hAnsi="Arial" w:cs="Arial"/>
          <w:b/>
          <w:bCs/>
          <w:sz w:val="24"/>
          <w:szCs w:val="24"/>
        </w:rPr>
      </w:pPr>
      <w:r>
        <w:rPr>
          <w:rFonts w:ascii="Arial" w:hAnsi="Arial" w:cs="Arial"/>
          <w:b/>
          <w:bCs/>
          <w:sz w:val="24"/>
          <w:szCs w:val="24"/>
        </w:rPr>
        <w:t>Literatura citada</w:t>
      </w:r>
    </w:p>
    <w:p w14:paraId="30510D5E" w14:textId="77777777" w:rsidR="003B3055" w:rsidRPr="00E847E4" w:rsidRDefault="003B3055" w:rsidP="003B3055">
      <w:pPr>
        <w:widowControl w:val="0"/>
        <w:autoSpaceDE w:val="0"/>
        <w:autoSpaceDN w:val="0"/>
        <w:adjustRightInd w:val="0"/>
        <w:spacing w:line="360" w:lineRule="auto"/>
        <w:ind w:left="480" w:hanging="480"/>
        <w:rPr>
          <w:rFonts w:ascii="Arial" w:hAnsi="Arial" w:cs="Arial"/>
          <w:noProof/>
          <w:sz w:val="24"/>
          <w:szCs w:val="24"/>
          <w:lang w:val="en-US"/>
        </w:rPr>
      </w:pPr>
      <w:r>
        <w:rPr>
          <w:rFonts w:ascii="Arial" w:hAnsi="Arial" w:cs="Arial"/>
          <w:b/>
          <w:bCs/>
          <w:sz w:val="24"/>
          <w:szCs w:val="24"/>
        </w:rPr>
        <w:fldChar w:fldCharType="begin" w:fldLock="1"/>
      </w:r>
      <w:r>
        <w:rPr>
          <w:rFonts w:ascii="Arial" w:hAnsi="Arial" w:cs="Arial"/>
          <w:b/>
          <w:bCs/>
          <w:sz w:val="24"/>
          <w:szCs w:val="24"/>
        </w:rPr>
        <w:instrText xml:space="preserve">ADDIN Mendeley Bibliography CSL_BIBLIOGRAPHY </w:instrText>
      </w:r>
      <w:r>
        <w:rPr>
          <w:rFonts w:ascii="Arial" w:hAnsi="Arial" w:cs="Arial"/>
          <w:b/>
          <w:bCs/>
          <w:sz w:val="24"/>
          <w:szCs w:val="24"/>
        </w:rPr>
        <w:fldChar w:fldCharType="separate"/>
      </w:r>
      <w:r w:rsidRPr="003B3055">
        <w:rPr>
          <w:rFonts w:ascii="Arial" w:hAnsi="Arial" w:cs="Arial"/>
          <w:noProof/>
          <w:sz w:val="24"/>
          <w:szCs w:val="24"/>
        </w:rPr>
        <w:t xml:space="preserve">Adaskaveg, J., Förster, H., &amp; Thompson, D. (2012). </w:t>
      </w:r>
      <w:r w:rsidRPr="00E847E4">
        <w:rPr>
          <w:rFonts w:ascii="Arial" w:hAnsi="Arial" w:cs="Arial"/>
          <w:noProof/>
          <w:sz w:val="24"/>
          <w:szCs w:val="24"/>
          <w:lang w:val="en-US"/>
        </w:rPr>
        <w:t xml:space="preserve">Resistance management a necessity in fungicide usage. </w:t>
      </w:r>
      <w:r w:rsidRPr="00E847E4">
        <w:rPr>
          <w:rFonts w:ascii="Arial" w:hAnsi="Arial" w:cs="Arial"/>
          <w:i/>
          <w:iCs/>
          <w:noProof/>
          <w:sz w:val="24"/>
          <w:szCs w:val="24"/>
          <w:lang w:val="en-US"/>
        </w:rPr>
        <w:t>Departament of Plant Pathology</w:t>
      </w:r>
      <w:r w:rsidRPr="00E847E4">
        <w:rPr>
          <w:rFonts w:ascii="Arial" w:hAnsi="Arial" w:cs="Arial"/>
          <w:noProof/>
          <w:sz w:val="24"/>
          <w:szCs w:val="24"/>
          <w:lang w:val="en-US"/>
        </w:rPr>
        <w:t xml:space="preserve">, </w:t>
      </w:r>
      <w:r w:rsidRPr="00E847E4">
        <w:rPr>
          <w:rFonts w:ascii="Arial" w:hAnsi="Arial" w:cs="Arial"/>
          <w:i/>
          <w:iCs/>
          <w:noProof/>
          <w:sz w:val="24"/>
          <w:szCs w:val="24"/>
          <w:lang w:val="en-US"/>
        </w:rPr>
        <w:t>49</w:t>
      </w:r>
      <w:r w:rsidRPr="00E847E4">
        <w:rPr>
          <w:rFonts w:ascii="Arial" w:hAnsi="Arial" w:cs="Arial"/>
          <w:noProof/>
          <w:sz w:val="24"/>
          <w:szCs w:val="24"/>
          <w:lang w:val="en-US"/>
        </w:rPr>
        <w:t>, 69–73.</w:t>
      </w:r>
    </w:p>
    <w:p w14:paraId="307A8C37" w14:textId="77777777" w:rsidR="003B3055" w:rsidRPr="003B3055" w:rsidRDefault="003B3055" w:rsidP="003B3055">
      <w:pPr>
        <w:widowControl w:val="0"/>
        <w:autoSpaceDE w:val="0"/>
        <w:autoSpaceDN w:val="0"/>
        <w:adjustRightInd w:val="0"/>
        <w:spacing w:line="360" w:lineRule="auto"/>
        <w:ind w:left="480" w:hanging="480"/>
        <w:rPr>
          <w:rFonts w:ascii="Arial" w:hAnsi="Arial" w:cs="Arial"/>
          <w:noProof/>
          <w:sz w:val="24"/>
          <w:szCs w:val="24"/>
        </w:rPr>
      </w:pPr>
      <w:r w:rsidRPr="003B3055">
        <w:rPr>
          <w:rFonts w:ascii="Arial" w:hAnsi="Arial" w:cs="Arial"/>
          <w:noProof/>
          <w:sz w:val="24"/>
          <w:szCs w:val="24"/>
        </w:rPr>
        <w:t xml:space="preserve">Calambás, H. (2014). </w:t>
      </w:r>
      <w:r w:rsidRPr="003B3055">
        <w:rPr>
          <w:rFonts w:ascii="Arial" w:hAnsi="Arial" w:cs="Arial"/>
          <w:i/>
          <w:iCs/>
          <w:noProof/>
          <w:sz w:val="24"/>
          <w:szCs w:val="24"/>
        </w:rPr>
        <w:t>Materiales compuestos de alúmina-zirconia para aplicaciones biomédicas</w:t>
      </w:r>
      <w:r w:rsidRPr="003B3055">
        <w:rPr>
          <w:rFonts w:ascii="Arial" w:hAnsi="Arial" w:cs="Arial"/>
          <w:noProof/>
          <w:sz w:val="24"/>
          <w:szCs w:val="24"/>
        </w:rPr>
        <w:t>. Universidad Nacional de la Plata.</w:t>
      </w:r>
    </w:p>
    <w:p w14:paraId="6861F53E" w14:textId="77777777" w:rsidR="003B3055" w:rsidRPr="003B3055" w:rsidRDefault="003B3055" w:rsidP="003B3055">
      <w:pPr>
        <w:widowControl w:val="0"/>
        <w:autoSpaceDE w:val="0"/>
        <w:autoSpaceDN w:val="0"/>
        <w:adjustRightInd w:val="0"/>
        <w:spacing w:line="360" w:lineRule="auto"/>
        <w:ind w:left="480" w:hanging="480"/>
        <w:rPr>
          <w:rFonts w:ascii="Arial" w:hAnsi="Arial" w:cs="Arial"/>
          <w:noProof/>
          <w:sz w:val="24"/>
          <w:szCs w:val="24"/>
        </w:rPr>
      </w:pPr>
      <w:r w:rsidRPr="003B3055">
        <w:rPr>
          <w:rFonts w:ascii="Arial" w:hAnsi="Arial" w:cs="Arial"/>
          <w:noProof/>
          <w:sz w:val="24"/>
          <w:szCs w:val="24"/>
        </w:rPr>
        <w:t xml:space="preserve">Hernández, J. (2012). Distribución y utilización de plaguicidas directrices sobre la prevención y manejo de la resistencia a los plaguicidas. </w:t>
      </w:r>
      <w:r w:rsidRPr="003B3055">
        <w:rPr>
          <w:rFonts w:ascii="Arial" w:hAnsi="Arial" w:cs="Arial"/>
          <w:i/>
          <w:iCs/>
          <w:noProof/>
          <w:sz w:val="24"/>
          <w:szCs w:val="24"/>
        </w:rPr>
        <w:t>Organización de Las Naciones Unidas Para La Agricultura y La Alimentación</w:t>
      </w:r>
      <w:r w:rsidRPr="003B3055">
        <w:rPr>
          <w:rFonts w:ascii="Arial" w:hAnsi="Arial" w:cs="Arial"/>
          <w:noProof/>
          <w:sz w:val="24"/>
          <w:szCs w:val="24"/>
        </w:rPr>
        <w:t>, 61.</w:t>
      </w:r>
    </w:p>
    <w:p w14:paraId="110A2E82" w14:textId="77777777" w:rsidR="003B3055" w:rsidRPr="003B3055" w:rsidRDefault="003B3055" w:rsidP="003B3055">
      <w:pPr>
        <w:widowControl w:val="0"/>
        <w:autoSpaceDE w:val="0"/>
        <w:autoSpaceDN w:val="0"/>
        <w:adjustRightInd w:val="0"/>
        <w:spacing w:line="360" w:lineRule="auto"/>
        <w:ind w:left="480" w:hanging="480"/>
        <w:rPr>
          <w:rFonts w:ascii="Arial" w:hAnsi="Arial" w:cs="Arial"/>
          <w:noProof/>
          <w:sz w:val="24"/>
          <w:szCs w:val="24"/>
        </w:rPr>
      </w:pPr>
      <w:r w:rsidRPr="003B3055">
        <w:rPr>
          <w:rFonts w:ascii="Arial" w:hAnsi="Arial" w:cs="Arial"/>
          <w:noProof/>
          <w:sz w:val="24"/>
          <w:szCs w:val="24"/>
        </w:rPr>
        <w:t xml:space="preserve">Londoño, M., Echavarría, A., &amp; De La Calle, F. (2006). Características cristaloquimicas de la hidroxiapatita sintética tratada a diferentes </w:t>
      </w:r>
      <w:r w:rsidRPr="003B3055">
        <w:rPr>
          <w:rFonts w:ascii="Arial" w:hAnsi="Arial" w:cs="Arial"/>
          <w:noProof/>
          <w:sz w:val="24"/>
          <w:szCs w:val="24"/>
        </w:rPr>
        <w:lastRenderedPageBreak/>
        <w:t xml:space="preserve">temperaturas. </w:t>
      </w:r>
      <w:r w:rsidRPr="003B3055">
        <w:rPr>
          <w:rFonts w:ascii="Arial" w:hAnsi="Arial" w:cs="Arial"/>
          <w:i/>
          <w:iCs/>
          <w:noProof/>
          <w:sz w:val="24"/>
          <w:szCs w:val="24"/>
        </w:rPr>
        <w:t>Revista EIA</w:t>
      </w:r>
      <w:r w:rsidRPr="003B3055">
        <w:rPr>
          <w:rFonts w:ascii="Arial" w:hAnsi="Arial" w:cs="Arial"/>
          <w:noProof/>
          <w:sz w:val="24"/>
          <w:szCs w:val="24"/>
        </w:rPr>
        <w:t xml:space="preserve">, </w:t>
      </w:r>
      <w:r w:rsidRPr="003B3055">
        <w:rPr>
          <w:rFonts w:ascii="Arial" w:hAnsi="Arial" w:cs="Arial"/>
          <w:i/>
          <w:iCs/>
          <w:noProof/>
          <w:sz w:val="24"/>
          <w:szCs w:val="24"/>
        </w:rPr>
        <w:t>5</w:t>
      </w:r>
      <w:r w:rsidRPr="003B3055">
        <w:rPr>
          <w:rFonts w:ascii="Arial" w:hAnsi="Arial" w:cs="Arial"/>
          <w:noProof/>
          <w:sz w:val="24"/>
          <w:szCs w:val="24"/>
        </w:rPr>
        <w:t>, 109–118.</w:t>
      </w:r>
    </w:p>
    <w:p w14:paraId="4EA6E2AE" w14:textId="5EB83FFF" w:rsidR="003B3055" w:rsidRPr="003B3055" w:rsidRDefault="003B3055" w:rsidP="003B3055">
      <w:pPr>
        <w:widowControl w:val="0"/>
        <w:autoSpaceDE w:val="0"/>
        <w:autoSpaceDN w:val="0"/>
        <w:adjustRightInd w:val="0"/>
        <w:spacing w:line="360" w:lineRule="auto"/>
        <w:ind w:left="480" w:hanging="480"/>
        <w:rPr>
          <w:rFonts w:ascii="Arial" w:hAnsi="Arial" w:cs="Arial"/>
          <w:noProof/>
          <w:sz w:val="24"/>
          <w:szCs w:val="24"/>
        </w:rPr>
      </w:pPr>
      <w:r w:rsidRPr="003B3055">
        <w:rPr>
          <w:rFonts w:ascii="Arial" w:hAnsi="Arial" w:cs="Arial"/>
          <w:noProof/>
          <w:sz w:val="24"/>
          <w:szCs w:val="24"/>
        </w:rPr>
        <w:t xml:space="preserve">López, K., Dzul, K. R., Lugo, C., Arias, J. J., &amp; Zavala, J. E. (2016). Mecanismos de resistencia antifúngica de los azoles en Candida albicans. </w:t>
      </w:r>
      <w:r w:rsidRPr="003B3055">
        <w:rPr>
          <w:rFonts w:ascii="Arial" w:hAnsi="Arial" w:cs="Arial"/>
          <w:i/>
          <w:iCs/>
          <w:noProof/>
          <w:sz w:val="24"/>
          <w:szCs w:val="24"/>
        </w:rPr>
        <w:t>Revista Biomédica</w:t>
      </w:r>
      <w:r w:rsidRPr="003B3055">
        <w:rPr>
          <w:rFonts w:ascii="Arial" w:hAnsi="Arial" w:cs="Arial"/>
          <w:noProof/>
          <w:sz w:val="24"/>
          <w:szCs w:val="24"/>
        </w:rPr>
        <w:t xml:space="preserve">, </w:t>
      </w:r>
      <w:r w:rsidRPr="003B3055">
        <w:rPr>
          <w:rFonts w:ascii="Arial" w:hAnsi="Arial" w:cs="Arial"/>
          <w:i/>
          <w:iCs/>
          <w:noProof/>
          <w:sz w:val="24"/>
          <w:szCs w:val="24"/>
        </w:rPr>
        <w:t>27</w:t>
      </w:r>
      <w:r w:rsidRPr="003B3055">
        <w:rPr>
          <w:rFonts w:ascii="Arial" w:hAnsi="Arial" w:cs="Arial"/>
          <w:noProof/>
          <w:sz w:val="24"/>
          <w:szCs w:val="24"/>
        </w:rPr>
        <w:t xml:space="preserve">(3), 127–136. </w:t>
      </w:r>
    </w:p>
    <w:p w14:paraId="7353028D" w14:textId="77777777" w:rsidR="003B3055" w:rsidRPr="003B3055" w:rsidRDefault="003B3055" w:rsidP="003B3055">
      <w:pPr>
        <w:widowControl w:val="0"/>
        <w:autoSpaceDE w:val="0"/>
        <w:autoSpaceDN w:val="0"/>
        <w:adjustRightInd w:val="0"/>
        <w:spacing w:line="360" w:lineRule="auto"/>
        <w:ind w:left="480" w:hanging="480"/>
        <w:rPr>
          <w:rFonts w:ascii="Arial" w:hAnsi="Arial" w:cs="Arial"/>
          <w:noProof/>
          <w:sz w:val="24"/>
        </w:rPr>
      </w:pPr>
      <w:r w:rsidRPr="003B3055">
        <w:rPr>
          <w:rFonts w:ascii="Arial" w:hAnsi="Arial" w:cs="Arial"/>
          <w:noProof/>
          <w:sz w:val="24"/>
          <w:szCs w:val="24"/>
        </w:rPr>
        <w:t xml:space="preserve">Manzano, P., Méndez, L., Hernández, F., &amp; López, R. (2008). La resistencia a los antifúngicos: un problema emergente en México. </w:t>
      </w:r>
      <w:r w:rsidRPr="003B3055">
        <w:rPr>
          <w:rFonts w:ascii="Arial" w:hAnsi="Arial" w:cs="Arial"/>
          <w:i/>
          <w:iCs/>
          <w:noProof/>
          <w:sz w:val="24"/>
          <w:szCs w:val="24"/>
        </w:rPr>
        <w:t>Gaceta Médica México</w:t>
      </w:r>
      <w:r w:rsidRPr="003B3055">
        <w:rPr>
          <w:rFonts w:ascii="Arial" w:hAnsi="Arial" w:cs="Arial"/>
          <w:noProof/>
          <w:sz w:val="24"/>
          <w:szCs w:val="24"/>
        </w:rPr>
        <w:t xml:space="preserve">, </w:t>
      </w:r>
      <w:r w:rsidRPr="003B3055">
        <w:rPr>
          <w:rFonts w:ascii="Arial" w:hAnsi="Arial" w:cs="Arial"/>
          <w:i/>
          <w:iCs/>
          <w:noProof/>
          <w:sz w:val="24"/>
          <w:szCs w:val="24"/>
        </w:rPr>
        <w:t>144</w:t>
      </w:r>
      <w:r w:rsidRPr="003B3055">
        <w:rPr>
          <w:rFonts w:ascii="Arial" w:hAnsi="Arial" w:cs="Arial"/>
          <w:noProof/>
          <w:sz w:val="24"/>
          <w:szCs w:val="24"/>
        </w:rPr>
        <w:t>(1), 23–26.</w:t>
      </w:r>
    </w:p>
    <w:p w14:paraId="5295D727" w14:textId="77777777" w:rsidR="003B3055" w:rsidRPr="00D444B9" w:rsidRDefault="003B3055" w:rsidP="00D444B9">
      <w:pPr>
        <w:spacing w:line="360" w:lineRule="auto"/>
        <w:jc w:val="both"/>
        <w:rPr>
          <w:rFonts w:ascii="Arial" w:hAnsi="Arial" w:cs="Arial"/>
          <w:b/>
          <w:bCs/>
          <w:sz w:val="24"/>
          <w:szCs w:val="24"/>
        </w:rPr>
      </w:pPr>
      <w:r>
        <w:rPr>
          <w:rFonts w:ascii="Arial" w:hAnsi="Arial" w:cs="Arial"/>
          <w:b/>
          <w:bCs/>
          <w:sz w:val="24"/>
          <w:szCs w:val="24"/>
        </w:rPr>
        <w:fldChar w:fldCharType="end"/>
      </w:r>
    </w:p>
    <w:bookmarkEnd w:id="4"/>
    <w:p w14:paraId="596BDDCA" w14:textId="77777777" w:rsidR="00D444B9" w:rsidRPr="00F70178" w:rsidRDefault="00D444B9" w:rsidP="00386447">
      <w:pPr>
        <w:tabs>
          <w:tab w:val="left" w:pos="8397"/>
        </w:tabs>
        <w:spacing w:line="360" w:lineRule="auto"/>
        <w:rPr>
          <w:rFonts w:ascii="Arial" w:hAnsi="Arial" w:cs="Arial"/>
          <w:sz w:val="28"/>
          <w:szCs w:val="28"/>
        </w:rPr>
      </w:pPr>
    </w:p>
    <w:p w14:paraId="1A287A6F" w14:textId="77777777" w:rsidR="00386447" w:rsidRDefault="00386447"/>
    <w:sectPr w:rsidR="00386447" w:rsidSect="004F1355">
      <w:type w:val="continuous"/>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6235A0"/>
    <w:multiLevelType w:val="multilevel"/>
    <w:tmpl w:val="2DB61D10"/>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447"/>
    <w:rsid w:val="00013869"/>
    <w:rsid w:val="00030141"/>
    <w:rsid w:val="000F2C44"/>
    <w:rsid w:val="000F6484"/>
    <w:rsid w:val="00100320"/>
    <w:rsid w:val="00120AF3"/>
    <w:rsid w:val="00121939"/>
    <w:rsid w:val="001663BF"/>
    <w:rsid w:val="001710E2"/>
    <w:rsid w:val="002616C4"/>
    <w:rsid w:val="002A64E7"/>
    <w:rsid w:val="00313A21"/>
    <w:rsid w:val="00386447"/>
    <w:rsid w:val="003B3055"/>
    <w:rsid w:val="003F1854"/>
    <w:rsid w:val="0049626A"/>
    <w:rsid w:val="004B132A"/>
    <w:rsid w:val="004F1355"/>
    <w:rsid w:val="005165B0"/>
    <w:rsid w:val="00570166"/>
    <w:rsid w:val="005C6B51"/>
    <w:rsid w:val="00712FAC"/>
    <w:rsid w:val="007427FA"/>
    <w:rsid w:val="00760876"/>
    <w:rsid w:val="007848FA"/>
    <w:rsid w:val="007B530F"/>
    <w:rsid w:val="00950156"/>
    <w:rsid w:val="00957DB9"/>
    <w:rsid w:val="00995D90"/>
    <w:rsid w:val="009E483F"/>
    <w:rsid w:val="009E574C"/>
    <w:rsid w:val="00AB4BB2"/>
    <w:rsid w:val="00B57E9F"/>
    <w:rsid w:val="00BD2109"/>
    <w:rsid w:val="00C6206C"/>
    <w:rsid w:val="00C67862"/>
    <w:rsid w:val="00C97C15"/>
    <w:rsid w:val="00CA006E"/>
    <w:rsid w:val="00CE1B0A"/>
    <w:rsid w:val="00CF1349"/>
    <w:rsid w:val="00D15B88"/>
    <w:rsid w:val="00D353FF"/>
    <w:rsid w:val="00D444B9"/>
    <w:rsid w:val="00D6557E"/>
    <w:rsid w:val="00E14856"/>
    <w:rsid w:val="00E163C7"/>
    <w:rsid w:val="00E22EDA"/>
    <w:rsid w:val="00E72192"/>
    <w:rsid w:val="00E847E4"/>
    <w:rsid w:val="00E953A9"/>
    <w:rsid w:val="00F65888"/>
    <w:rsid w:val="00FB3D9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CC2E7"/>
  <w15:chartTrackingRefBased/>
  <w15:docId w15:val="{A22DBAFD-CD07-4FAC-BE73-D1D0B9E09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86447"/>
  </w:style>
  <w:style w:type="paragraph" w:styleId="Ttulo2">
    <w:name w:val="heading 2"/>
    <w:basedOn w:val="Normal"/>
    <w:next w:val="Normal"/>
    <w:link w:val="Ttulo2Car"/>
    <w:uiPriority w:val="9"/>
    <w:unhideWhenUsed/>
    <w:qFormat/>
    <w:rsid w:val="00CE1B0A"/>
    <w:pPr>
      <w:keepNext/>
      <w:keepLines/>
      <w:spacing w:before="160" w:after="120" w:line="256" w:lineRule="auto"/>
      <w:jc w:val="both"/>
      <w:outlineLvl w:val="1"/>
    </w:pPr>
    <w:rPr>
      <w:rFonts w:ascii="Arial" w:eastAsiaTheme="majorEastAsia" w:hAnsi="Arial" w:cstheme="majorBidi"/>
      <w:b/>
      <w:sz w:val="2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E1B0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E1B0A"/>
  </w:style>
  <w:style w:type="character" w:styleId="Hipervnculo">
    <w:name w:val="Hyperlink"/>
    <w:basedOn w:val="Fuentedeprrafopredeter"/>
    <w:uiPriority w:val="99"/>
    <w:unhideWhenUsed/>
    <w:rsid w:val="00CE1B0A"/>
    <w:rPr>
      <w:color w:val="0563C1" w:themeColor="hyperlink"/>
      <w:u w:val="single"/>
    </w:rPr>
  </w:style>
  <w:style w:type="character" w:styleId="Mencinsinresolver">
    <w:name w:val="Unresolved Mention"/>
    <w:basedOn w:val="Fuentedeprrafopredeter"/>
    <w:uiPriority w:val="99"/>
    <w:semiHidden/>
    <w:unhideWhenUsed/>
    <w:rsid w:val="00CE1B0A"/>
    <w:rPr>
      <w:color w:val="605E5C"/>
      <w:shd w:val="clear" w:color="auto" w:fill="E1DFDD"/>
    </w:rPr>
  </w:style>
  <w:style w:type="paragraph" w:styleId="Prrafodelista">
    <w:name w:val="List Paragraph"/>
    <w:basedOn w:val="Normal"/>
    <w:uiPriority w:val="34"/>
    <w:qFormat/>
    <w:rsid w:val="00CE1B0A"/>
    <w:pPr>
      <w:ind w:left="720"/>
      <w:contextualSpacing/>
    </w:pPr>
  </w:style>
  <w:style w:type="character" w:customStyle="1" w:styleId="Ttulo2Car">
    <w:name w:val="Título 2 Car"/>
    <w:basedOn w:val="Fuentedeprrafopredeter"/>
    <w:link w:val="Ttulo2"/>
    <w:uiPriority w:val="9"/>
    <w:rsid w:val="00CE1B0A"/>
    <w:rPr>
      <w:rFonts w:ascii="Arial" w:eastAsiaTheme="majorEastAsia" w:hAnsi="Arial" w:cstheme="majorBidi"/>
      <w:b/>
      <w:sz w:val="24"/>
      <w:szCs w:val="26"/>
    </w:rPr>
  </w:style>
  <w:style w:type="paragraph" w:styleId="Descripcin">
    <w:name w:val="caption"/>
    <w:basedOn w:val="Normal"/>
    <w:next w:val="Normal"/>
    <w:unhideWhenUsed/>
    <w:qFormat/>
    <w:rsid w:val="00CE1B0A"/>
    <w:pPr>
      <w:spacing w:after="200" w:line="240" w:lineRule="auto"/>
      <w:jc w:val="both"/>
    </w:pPr>
    <w:rPr>
      <w:rFonts w:ascii="Arial" w:hAnsi="Arial"/>
      <w:iCs/>
      <w:sz w:val="20"/>
      <w:szCs w:val="18"/>
    </w:rPr>
  </w:style>
  <w:style w:type="paragraph" w:styleId="Textodeglobo">
    <w:name w:val="Balloon Text"/>
    <w:basedOn w:val="Normal"/>
    <w:link w:val="TextodegloboCar"/>
    <w:uiPriority w:val="99"/>
    <w:semiHidden/>
    <w:unhideWhenUsed/>
    <w:rsid w:val="00B57E9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57E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0719513">
      <w:bodyDiv w:val="1"/>
      <w:marLeft w:val="0"/>
      <w:marRight w:val="0"/>
      <w:marTop w:val="0"/>
      <w:marBottom w:val="0"/>
      <w:divBdr>
        <w:top w:val="none" w:sz="0" w:space="0" w:color="auto"/>
        <w:left w:val="none" w:sz="0" w:space="0" w:color="auto"/>
        <w:bottom w:val="none" w:sz="0" w:space="0" w:color="auto"/>
        <w:right w:val="none" w:sz="0" w:space="0" w:color="auto"/>
      </w:divBdr>
    </w:div>
    <w:div w:id="934365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hyperlink" Target="mailto:simon.reyes@uacj.mx" TargetMode="External"/><Relationship Id="rId12" Type="http://schemas.microsoft.com/office/2007/relationships/hdphoto" Target="media/hdphoto2.wdp"/><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al163316@alumnos.uacj.mx" TargetMode="External"/><Relationship Id="rId11" Type="http://schemas.openxmlformats.org/officeDocument/2006/relationships/image" Target="media/image3.png"/><Relationship Id="rId5" Type="http://schemas.openxmlformats.org/officeDocument/2006/relationships/webSettings" Target="webSettings.xml"/><Relationship Id="rId15" Type="http://schemas.microsoft.com/office/2007/relationships/hdphoto" Target="media/hdphoto3.wdp"/><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Ada12</b:Tag>
    <b:SourceType>JournalArticle</b:SourceType>
    <b:Guid>{84470FDC-1D01-4964-8080-9EC2EDEB0994}</b:Guid>
    <b:Title>Resistance Management - A Necessity in Fuingicide Guide </b:Title>
    <b:JournalName>Plant Pathology Dept. University of California, Davis</b:JournalName>
    <b:Year>2012</b:Year>
    <b:Author>
      <b:Author>
        <b:NameList>
          <b:Person>
            <b:Last>Adaskabeg</b:Last>
            <b:Middle>E</b:Middle>
            <b:First>J</b:First>
          </b:Person>
          <b:Person>
            <b:Last>Förster </b:Last>
            <b:First>H</b:First>
          </b:Person>
          <b:Person>
            <b:Last>Thompson</b:Last>
            <b:First>D</b:First>
          </b:Person>
        </b:NameList>
      </b:Author>
    </b:Author>
    <b:RefOrder>1</b:RefOrder>
  </b:Source>
  <b:Source>
    <b:Tag>Com12</b:Tag>
    <b:SourceType>JournalArticle</b:SourceType>
    <b:Guid>{2DC642C9-64F3-47E3-A918-15438DC89952}</b:Guid>
    <b:Author>
      <b:Author>
        <b:NameList>
          <b:Person>
            <b:Last>Hernández</b:Last>
            <b:First>Paz</b:First>
          </b:Person>
        </b:NameList>
      </b:Author>
    </b:Author>
    <b:Title>Directrices sobre la Prevención y Manejo de la Resistencia a los Plaguicidas</b:Title>
    <b:JournalName>Código Internacional de Conducta para la Distribución y Utilización de Plaguicidas</b:JournalName>
    <b:Year>2012</b:Year>
    <b:Pages>1-61</b:Pages>
    <b:RefOrder>2</b:RefOrder>
  </b:Source>
  <b:Source>
    <b:Tag>Lóp16</b:Tag>
    <b:SourceType>JournalArticle</b:SourceType>
    <b:Guid>{F2685576-500D-40C5-AD0A-13B55CAA4999}</b:Guid>
    <b:Title>Mecanismos de resistencia antifúngica de los azoles en Candida albicans.</b:Title>
    <b:JournalName>Revista Biomédica</b:JournalName>
    <b:Year>2016</b:Year>
    <b:Pages>27: 127-136</b:Pages>
    <b:Author>
      <b:Author>
        <b:NameList>
          <b:Person>
            <b:Last>López-Ávila</b:Last>
            <b:First>Karina</b:First>
          </b:Person>
          <b:Person>
            <b:Last>Dzul-Rosado</b:Last>
            <b:First>Karla</b:First>
            <b:Middle>R</b:Middle>
          </b:Person>
          <b:Person>
            <b:Last>Lugo-Caballero</b:Last>
            <b:First>César</b:First>
          </b:Person>
          <b:Person>
            <b:Last>Arias-León</b:Last>
            <b:First>Juan</b:First>
            <b:Middle>J</b:Middle>
          </b:Person>
          <b:Person>
            <b:Last>Zavala-Castro</b:Last>
            <b:First>Jorge</b:First>
          </b:Person>
        </b:NameList>
      </b:Author>
    </b:Author>
    <b:RefOrder>3</b:RefOrder>
  </b:Source>
  <b:Source>
    <b:Tag>Hei14</b:Tag>
    <b:SourceType>JournalArticle</b:SourceType>
    <b:Guid>{57A743FD-1B70-4759-A4F3-4EB33B41050A}</b:Guid>
    <b:Author>
      <b:Author>
        <b:NameList>
          <b:Person>
            <b:Last>Calambás</b:Last>
            <b:First>Heidy</b:First>
            <b:Middle>Lorena</b:Middle>
          </b:Person>
        </b:NameList>
      </b:Author>
    </b:Author>
    <b:Title>MATERIALES COMPUESTOS DE ALUMINA – ZIRCONIA PARA</b:Title>
    <b:Year>2014</b:Year>
    <b:Pages>250</b:Pages>
    <b:RefOrder>4</b:RefOrder>
  </b:Source>
  <b:Source>
    <b:Tag>Lon06</b:Tag>
    <b:SourceType>JournalArticle</b:SourceType>
    <b:Guid>{54220829-A416-42D4-A932-0BACD80D5AB3}</b:Guid>
    <b:Title>Hidroxiapatita Sintética Tratada a Diferentes Temperaturas</b:Title>
    <b:Year>2006</b:Year>
    <b:Pages>110-115</b:Pages>
    <b:Author>
      <b:Author>
        <b:NameList>
          <b:Person>
            <b:Last>Londoño</b:Last>
            <b:First>M</b:First>
          </b:Person>
          <b:Person>
            <b:Last>Echavarria</b:Last>
            <b:First>A</b:First>
          </b:Person>
        </b:NameList>
      </b:Author>
    </b:Author>
    <b:RefOrder>5</b:RefOrder>
  </b:Source>
  <b:Source>
    <b:Tag>ANa24</b:Tag>
    <b:SourceType>JournalArticle</b:SourceType>
    <b:Guid>{FEDADF2D-2665-4719-A666-77E5B177AD43}</b:Guid>
    <b:Author>
      <b:Author>
        <b:NameList>
          <b:Person>
            <b:Last>Naik</b:Last>
            <b:First>A.</b:First>
          </b:Person>
        </b:NameList>
      </b:Author>
    </b:Author>
    <b:Title>Fundamentos del microscopio electronico y si aplicacion en la investigacion textil</b:Title>
    <b:Year>1924</b:Year>
    <b:Pages>50-62</b:Pages>
    <b:RefOrder>1</b:RefOrder>
  </b:Source>
  <b:Source>
    <b:Tag>Die98</b:Tag>
    <b:SourceType>JournalArticle</b:SourceType>
    <b:Guid>{CE8ED8A7-CCE4-49D4-829C-68B8129838CE}</b:Guid>
    <b:Author>
      <b:Author>
        <b:NameList>
          <b:Person>
            <b:Last>Ribadeneira</b:Last>
            <b:First>Diego</b:First>
            <b:Middle>Egas</b:Middle>
          </b:Person>
        </b:NameList>
      </b:Author>
    </b:Author>
    <b:Title>Microscopia electronica: Fundamentos, teoria y aplicaciones</b:Title>
    <b:Year>1998</b:Year>
    <b:Pages>43-80</b:Pages>
    <b:RefOrder>2</b:RefOrder>
  </b:Source>
  <b:Source>
    <b:Tag>Yañ14</b:Tag>
    <b:SourceType>BookSection</b:SourceType>
    <b:Guid>{FECF1C78-F733-4563-B594-BAF55E371975}</b:Guid>
    <b:Author>
      <b:Author>
        <b:NameList>
          <b:Person>
            <b:Last>Yañez</b:Last>
            <b:First>Maria</b:First>
            <b:Middle>Juliana</b:Middle>
          </b:Person>
        </b:NameList>
      </b:Author>
    </b:Author>
    <b:Title>Principios y practica de la microscopia electronica</b:Title>
    <b:Year>2014</b:Year>
    <b:Pages>500</b:Pages>
    <b:City>España</b:City>
    <b:Publisher>publish</b:Publisher>
    <b:RefOrder>3</b:RefOrder>
  </b:Source>
</b:Sources>
</file>

<file path=customXml/itemProps1.xml><?xml version="1.0" encoding="utf-8"?>
<ds:datastoreItem xmlns:ds="http://schemas.openxmlformats.org/officeDocument/2006/customXml" ds:itemID="{C65E938B-DF9D-4E34-BEC2-204A7C6F1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3661</Words>
  <Characters>20140</Characters>
  <Application>Microsoft Office Word</Application>
  <DocSecurity>0</DocSecurity>
  <Lines>167</Lines>
  <Paragraphs>47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Daniel Rivera</dc:creator>
  <cp:keywords/>
  <dc:description/>
  <cp:lastModifiedBy>Daniela Daniel Rivera</cp:lastModifiedBy>
  <cp:revision>4</cp:revision>
  <dcterms:created xsi:type="dcterms:W3CDTF">2019-09-21T02:03:00Z</dcterms:created>
  <dcterms:modified xsi:type="dcterms:W3CDTF">2019-09-21T02:40:00Z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efb319a1-883e-3f1a-8803-1a59f6ff523a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