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051F7" w14:textId="77777777" w:rsidR="00C82611" w:rsidRDefault="00C82611" w:rsidP="001F5F8E">
      <w:pPr>
        <w:jc w:val="center"/>
        <w:rPr>
          <w:rFonts w:ascii="Arial" w:hAnsi="Arial" w:cs="Arial"/>
          <w:b/>
          <w:sz w:val="24"/>
        </w:rPr>
      </w:pPr>
    </w:p>
    <w:p w14:paraId="415182CB" w14:textId="0DBFDE33" w:rsidR="00E340F2" w:rsidRDefault="000E3BA8" w:rsidP="001F5F8E">
      <w:pPr>
        <w:jc w:val="center"/>
        <w:rPr>
          <w:rFonts w:ascii="Arial" w:hAnsi="Arial" w:cs="Arial"/>
          <w:b/>
          <w:sz w:val="24"/>
        </w:rPr>
      </w:pPr>
      <w:r w:rsidRPr="000E3BA8">
        <w:rPr>
          <w:rFonts w:ascii="Arial" w:hAnsi="Arial" w:cs="Arial"/>
          <w:b/>
          <w:sz w:val="24"/>
        </w:rPr>
        <w:t>Arreglo nanoestructurado acoplado con quitosano para detección voltamperom</w:t>
      </w:r>
      <w:r>
        <w:rPr>
          <w:rFonts w:ascii="Arial" w:hAnsi="Arial" w:cs="Arial"/>
          <w:b/>
          <w:sz w:val="24"/>
        </w:rPr>
        <w:t>é</w:t>
      </w:r>
      <w:r w:rsidRPr="000E3BA8">
        <w:rPr>
          <w:rFonts w:ascii="Arial" w:hAnsi="Arial" w:cs="Arial"/>
          <w:b/>
          <w:sz w:val="24"/>
        </w:rPr>
        <w:t>tr</w:t>
      </w:r>
      <w:r>
        <w:rPr>
          <w:rFonts w:ascii="Arial" w:hAnsi="Arial" w:cs="Arial"/>
          <w:b/>
          <w:sz w:val="24"/>
        </w:rPr>
        <w:t>ic</w:t>
      </w:r>
      <w:r w:rsidRPr="000E3BA8">
        <w:rPr>
          <w:rFonts w:ascii="Arial" w:hAnsi="Arial" w:cs="Arial"/>
          <w:b/>
          <w:sz w:val="24"/>
        </w:rPr>
        <w:t>a de cadmio</w:t>
      </w:r>
      <w:r w:rsidR="00C91A83">
        <w:rPr>
          <w:rFonts w:ascii="Arial" w:hAnsi="Arial" w:cs="Arial"/>
          <w:b/>
          <w:sz w:val="24"/>
        </w:rPr>
        <w:t xml:space="preserve"> en medio acuoso</w:t>
      </w:r>
    </w:p>
    <w:p w14:paraId="6F13862D" w14:textId="743B918A" w:rsidR="00EC690F" w:rsidRDefault="001F5F8E" w:rsidP="001F5F8E">
      <w:pPr>
        <w:jc w:val="center"/>
        <w:rPr>
          <w:rFonts w:ascii="Arial" w:hAnsi="Arial" w:cs="Arial"/>
          <w:sz w:val="24"/>
        </w:rPr>
      </w:pPr>
      <w:r>
        <w:rPr>
          <w:rFonts w:ascii="Arial" w:hAnsi="Arial" w:cs="Arial"/>
          <w:sz w:val="24"/>
        </w:rPr>
        <w:t>Autor: Jonathan Josué Calvillo Solís</w:t>
      </w:r>
      <w:r w:rsidR="000E3BA8">
        <w:rPr>
          <w:rFonts w:ascii="Arial" w:hAnsi="Arial" w:cs="Arial"/>
          <w:sz w:val="24"/>
        </w:rPr>
        <w:t xml:space="preserve"> (UACJ-ICB)</w:t>
      </w:r>
      <w:r>
        <w:rPr>
          <w:rFonts w:ascii="Arial" w:hAnsi="Arial" w:cs="Arial"/>
          <w:sz w:val="24"/>
        </w:rPr>
        <w:br/>
        <w:t>Estudiante de licenciatura en química.</w:t>
      </w:r>
      <w:r>
        <w:rPr>
          <w:rFonts w:ascii="Arial" w:hAnsi="Arial" w:cs="Arial"/>
          <w:sz w:val="24"/>
        </w:rPr>
        <w:br/>
      </w:r>
      <w:hyperlink r:id="rId7" w:history="1">
        <w:r w:rsidRPr="00CB38E6">
          <w:rPr>
            <w:rStyle w:val="Hipervnculo"/>
            <w:rFonts w:ascii="Arial" w:hAnsi="Arial" w:cs="Arial"/>
            <w:sz w:val="24"/>
          </w:rPr>
          <w:t>al154790@alumnos.uacj.mx</w:t>
        </w:r>
      </w:hyperlink>
    </w:p>
    <w:p w14:paraId="7873DE2C" w14:textId="6185E95D" w:rsidR="00EA6B81" w:rsidRDefault="002E7CC0" w:rsidP="001F5F8E">
      <w:pPr>
        <w:jc w:val="center"/>
        <w:rPr>
          <w:rFonts w:ascii="Arial" w:hAnsi="Arial" w:cs="Arial"/>
          <w:sz w:val="24"/>
        </w:rPr>
      </w:pPr>
      <w:r>
        <w:rPr>
          <w:rFonts w:ascii="Arial" w:hAnsi="Arial" w:cs="Arial"/>
          <w:sz w:val="24"/>
        </w:rPr>
        <w:t>Tutora: Dr. Mónica Galicia</w:t>
      </w:r>
      <w:r w:rsidR="00663C8B">
        <w:rPr>
          <w:rFonts w:ascii="Arial" w:hAnsi="Arial" w:cs="Arial"/>
          <w:sz w:val="24"/>
        </w:rPr>
        <w:t xml:space="preserve"> García</w:t>
      </w:r>
      <w:r w:rsidR="000E3BA8">
        <w:rPr>
          <w:rFonts w:ascii="Arial" w:hAnsi="Arial" w:cs="Arial"/>
          <w:sz w:val="24"/>
        </w:rPr>
        <w:t xml:space="preserve"> (UACJ-ICB)</w:t>
      </w:r>
      <w:r>
        <w:rPr>
          <w:rFonts w:ascii="Arial" w:hAnsi="Arial" w:cs="Arial"/>
          <w:sz w:val="24"/>
        </w:rPr>
        <w:br/>
      </w:r>
      <w:hyperlink r:id="rId8" w:history="1">
        <w:r w:rsidR="00EA6B81" w:rsidRPr="00317F21">
          <w:rPr>
            <w:rStyle w:val="Hipervnculo"/>
            <w:rFonts w:ascii="Arial" w:hAnsi="Arial" w:cs="Arial"/>
            <w:sz w:val="24"/>
          </w:rPr>
          <w:t>monica.galicia@uacj.mx</w:t>
        </w:r>
      </w:hyperlink>
    </w:p>
    <w:p w14:paraId="16F79479" w14:textId="77777777" w:rsidR="001024D7" w:rsidRDefault="001024D7" w:rsidP="00F53FFC">
      <w:pPr>
        <w:spacing w:line="360" w:lineRule="auto"/>
        <w:rPr>
          <w:rFonts w:ascii="Arial" w:hAnsi="Arial" w:cs="Arial"/>
          <w:b/>
          <w:sz w:val="24"/>
        </w:rPr>
      </w:pPr>
    </w:p>
    <w:p w14:paraId="101F3B1E" w14:textId="73B8E35E" w:rsidR="000B2AC6" w:rsidRPr="000B2AC6" w:rsidRDefault="000B2AC6" w:rsidP="00F53FFC">
      <w:pPr>
        <w:spacing w:line="360" w:lineRule="auto"/>
        <w:rPr>
          <w:rFonts w:ascii="Arial" w:hAnsi="Arial" w:cs="Arial"/>
          <w:b/>
          <w:sz w:val="24"/>
        </w:rPr>
      </w:pPr>
      <w:r w:rsidRPr="000B2AC6">
        <w:rPr>
          <w:rFonts w:ascii="Arial" w:hAnsi="Arial" w:cs="Arial"/>
          <w:b/>
          <w:sz w:val="24"/>
        </w:rPr>
        <w:t>Resumen</w:t>
      </w:r>
      <w:r w:rsidR="003A418E">
        <w:rPr>
          <w:rFonts w:ascii="Arial" w:hAnsi="Arial" w:cs="Arial"/>
          <w:b/>
          <w:sz w:val="24"/>
        </w:rPr>
        <w:t xml:space="preserve"> </w:t>
      </w:r>
    </w:p>
    <w:p w14:paraId="35995443" w14:textId="052CBC66" w:rsidR="00F469F0" w:rsidRPr="001D6A87" w:rsidRDefault="00235FAB" w:rsidP="00F469F0">
      <w:pPr>
        <w:pStyle w:val="paragraph"/>
        <w:spacing w:line="360" w:lineRule="auto"/>
        <w:jc w:val="both"/>
        <w:textAlignment w:val="baseline"/>
        <w:rPr>
          <w:rStyle w:val="normaltextrun1"/>
          <w:rFonts w:ascii="Arial" w:hAnsi="Arial" w:cs="Arial"/>
        </w:rPr>
      </w:pPr>
      <w:r>
        <w:rPr>
          <w:rStyle w:val="normaltextrun1"/>
          <w:rFonts w:ascii="Arial" w:hAnsi="Arial" w:cs="Arial"/>
        </w:rPr>
        <w:t>Un</w:t>
      </w:r>
      <w:r w:rsidR="000E3BA8">
        <w:rPr>
          <w:rStyle w:val="normaltextrun1"/>
          <w:rFonts w:ascii="Arial" w:hAnsi="Arial" w:cs="Arial"/>
        </w:rPr>
        <w:t xml:space="preserve"> electrodo de carbon vitreo </w:t>
      </w:r>
      <w:r w:rsidR="005B0A29">
        <w:rPr>
          <w:rStyle w:val="normaltextrun1"/>
          <w:rFonts w:ascii="Arial" w:hAnsi="Arial" w:cs="Arial"/>
        </w:rPr>
        <w:t xml:space="preserve">se modificó con un ensamble nanoestructurado de </w:t>
      </w:r>
      <w:r w:rsidR="000E3BA8">
        <w:rPr>
          <w:rStyle w:val="normaltextrun1"/>
          <w:rFonts w:ascii="Arial" w:hAnsi="Arial" w:cs="Arial"/>
        </w:rPr>
        <w:t>nanotubos de carbono de capa múltiple y quitosano (MWCNT-Chit) para la detección de iones cadmio (II) en medio acuoso. Utilizando voltamperometría cíclica (</w:t>
      </w:r>
      <w:r w:rsidR="001D6A87">
        <w:rPr>
          <w:rStyle w:val="normaltextrun1"/>
          <w:rFonts w:ascii="Arial" w:hAnsi="Arial" w:cs="Arial"/>
        </w:rPr>
        <w:t>CV</w:t>
      </w:r>
      <w:r w:rsidR="000E3BA8">
        <w:rPr>
          <w:rStyle w:val="normaltextrun1"/>
          <w:rFonts w:ascii="Arial" w:hAnsi="Arial" w:cs="Arial"/>
        </w:rPr>
        <w:t>) y espectroscopia de impedancia electroquímica (EI</w:t>
      </w:r>
      <w:r w:rsidR="001D6A87">
        <w:rPr>
          <w:rStyle w:val="normaltextrun1"/>
          <w:rFonts w:ascii="Arial" w:hAnsi="Arial" w:cs="Arial"/>
        </w:rPr>
        <w:t>S</w:t>
      </w:r>
      <w:r w:rsidR="000E3BA8">
        <w:rPr>
          <w:rStyle w:val="normaltextrun1"/>
          <w:rFonts w:ascii="Arial" w:hAnsi="Arial" w:cs="Arial"/>
        </w:rPr>
        <w:t xml:space="preserve">), se caracterizó el arreglo. </w:t>
      </w:r>
      <w:r w:rsidR="001D6A87">
        <w:rPr>
          <w:rStyle w:val="normaltextrun1"/>
          <w:rFonts w:ascii="Arial" w:hAnsi="Arial" w:cs="Arial"/>
        </w:rPr>
        <w:t xml:space="preserve">La </w:t>
      </w:r>
      <w:r w:rsidR="001024D7">
        <w:rPr>
          <w:rStyle w:val="normaltextrun1"/>
          <w:rFonts w:ascii="Arial" w:hAnsi="Arial" w:cs="Arial"/>
        </w:rPr>
        <w:t>optimización</w:t>
      </w:r>
      <w:r w:rsidR="001D6A87">
        <w:rPr>
          <w:rStyle w:val="normaltextrun1"/>
          <w:rFonts w:ascii="Arial" w:hAnsi="Arial" w:cs="Arial"/>
        </w:rPr>
        <w:t xml:space="preserve"> de diferentes parámetros para la detección electroquímica de iones cadmio se realiz</w:t>
      </w:r>
      <w:r w:rsidR="005B0A29">
        <w:rPr>
          <w:rStyle w:val="normaltextrun1"/>
          <w:rFonts w:ascii="Arial" w:hAnsi="Arial" w:cs="Arial"/>
        </w:rPr>
        <w:t>ó</w:t>
      </w:r>
      <w:r w:rsidR="001D6A87">
        <w:rPr>
          <w:rStyle w:val="normaltextrun1"/>
          <w:rFonts w:ascii="Arial" w:hAnsi="Arial" w:cs="Arial"/>
        </w:rPr>
        <w:t xml:space="preserve"> mediante voltamperometría de onda cuadrada (SWV). Los resultados mostraron un limite de detección de 0.09 </w:t>
      </w:r>
      <w:r w:rsidR="001D6A87" w:rsidRPr="001D6A87">
        <w:rPr>
          <w:rStyle w:val="normaltextrun1"/>
          <w:rFonts w:ascii="Arial" w:hAnsi="Arial" w:cs="Arial"/>
        </w:rPr>
        <w:t>μg</w:t>
      </w:r>
      <w:r w:rsidR="001D6A87">
        <w:rPr>
          <w:rStyle w:val="normaltextrun1"/>
          <w:rFonts w:ascii="Arial" w:hAnsi="Arial" w:cs="Arial"/>
        </w:rPr>
        <w:t xml:space="preserve"> L</w:t>
      </w:r>
      <w:r w:rsidR="001D6A87">
        <w:rPr>
          <w:rStyle w:val="normaltextrun1"/>
          <w:rFonts w:ascii="Arial" w:hAnsi="Arial" w:cs="Arial"/>
          <w:vertAlign w:val="superscript"/>
        </w:rPr>
        <w:t>-1</w:t>
      </w:r>
      <w:r w:rsidR="001D6A87">
        <w:rPr>
          <w:rStyle w:val="normaltextrun1"/>
          <w:rFonts w:ascii="Arial" w:hAnsi="Arial" w:cs="Arial"/>
        </w:rPr>
        <w:t xml:space="preserve"> y un límite de cuantificación de 0.29 </w:t>
      </w:r>
      <w:r w:rsidR="001D6A87" w:rsidRPr="001D6A87">
        <w:rPr>
          <w:rStyle w:val="normaltextrun1"/>
          <w:rFonts w:ascii="Arial" w:hAnsi="Arial" w:cs="Arial"/>
        </w:rPr>
        <w:t>μg</w:t>
      </w:r>
      <w:r w:rsidR="001D6A87">
        <w:rPr>
          <w:rStyle w:val="normaltextrun1"/>
          <w:rFonts w:ascii="Arial" w:hAnsi="Arial" w:cs="Arial"/>
        </w:rPr>
        <w:t xml:space="preserve"> L</w:t>
      </w:r>
      <w:r w:rsidR="001D6A87">
        <w:rPr>
          <w:rStyle w:val="normaltextrun1"/>
          <w:rFonts w:ascii="Arial" w:hAnsi="Arial" w:cs="Arial"/>
          <w:vertAlign w:val="superscript"/>
        </w:rPr>
        <w:t>-1</w:t>
      </w:r>
      <w:r w:rsidR="001D6A87">
        <w:rPr>
          <w:rStyle w:val="normaltextrun1"/>
          <w:rFonts w:ascii="Arial" w:hAnsi="Arial" w:cs="Arial"/>
        </w:rPr>
        <w:t xml:space="preserve">. Así mismo, se evaluó la detección de </w:t>
      </w:r>
      <w:proofErr w:type="gramStart"/>
      <w:r w:rsidR="001D6A87">
        <w:rPr>
          <w:rStyle w:val="normaltextrun1"/>
          <w:rFonts w:ascii="Arial" w:hAnsi="Arial" w:cs="Arial"/>
        </w:rPr>
        <w:t>Cd(</w:t>
      </w:r>
      <w:proofErr w:type="gramEnd"/>
      <w:r w:rsidR="001D6A87">
        <w:rPr>
          <w:rStyle w:val="normaltextrun1"/>
          <w:rFonts w:ascii="Arial" w:hAnsi="Arial" w:cs="Arial"/>
        </w:rPr>
        <w:t>II) en presencia de otros iones tóxicos de metales pesados: Pb(II)</w:t>
      </w:r>
      <w:r w:rsidR="005B0A29">
        <w:rPr>
          <w:rStyle w:val="normaltextrun1"/>
          <w:rFonts w:ascii="Arial" w:hAnsi="Arial" w:cs="Arial"/>
        </w:rPr>
        <w:t xml:space="preserve"> y</w:t>
      </w:r>
      <w:r w:rsidR="001D6A87">
        <w:rPr>
          <w:rStyle w:val="normaltextrun1"/>
          <w:rFonts w:ascii="Arial" w:hAnsi="Arial" w:cs="Arial"/>
        </w:rPr>
        <w:t xml:space="preserve"> Co(II) 30 </w:t>
      </w:r>
      <w:r w:rsidR="001D6A87" w:rsidRPr="001D6A87">
        <w:rPr>
          <w:rStyle w:val="normaltextrun1"/>
          <w:rFonts w:ascii="Arial" w:hAnsi="Arial" w:cs="Arial"/>
        </w:rPr>
        <w:t>μg</w:t>
      </w:r>
      <w:r w:rsidR="001D6A87">
        <w:rPr>
          <w:rStyle w:val="normaltextrun1"/>
          <w:rFonts w:ascii="Arial" w:hAnsi="Arial" w:cs="Arial"/>
        </w:rPr>
        <w:t xml:space="preserve"> L</w:t>
      </w:r>
      <w:r w:rsidR="001D6A87">
        <w:rPr>
          <w:rStyle w:val="normaltextrun1"/>
          <w:rFonts w:ascii="Arial" w:hAnsi="Arial" w:cs="Arial"/>
          <w:vertAlign w:val="superscript"/>
        </w:rPr>
        <w:t>-1</w:t>
      </w:r>
      <w:r w:rsidR="001D6A87">
        <w:rPr>
          <w:rStyle w:val="normaltextrun1"/>
          <w:rFonts w:ascii="Arial" w:hAnsi="Arial" w:cs="Arial"/>
        </w:rPr>
        <w:t xml:space="preserve"> y Hg(II) 100 </w:t>
      </w:r>
      <w:r w:rsidR="001D6A87" w:rsidRPr="001D6A87">
        <w:rPr>
          <w:rStyle w:val="normaltextrun1"/>
          <w:rFonts w:ascii="Arial" w:hAnsi="Arial" w:cs="Arial"/>
        </w:rPr>
        <w:t>μg</w:t>
      </w:r>
      <w:r w:rsidR="001D6A87">
        <w:rPr>
          <w:rStyle w:val="normaltextrun1"/>
          <w:rFonts w:ascii="Arial" w:hAnsi="Arial" w:cs="Arial"/>
        </w:rPr>
        <w:t xml:space="preserve"> L</w:t>
      </w:r>
      <w:r w:rsidR="001D6A87">
        <w:rPr>
          <w:rStyle w:val="normaltextrun1"/>
          <w:rFonts w:ascii="Arial" w:hAnsi="Arial" w:cs="Arial"/>
          <w:vertAlign w:val="superscript"/>
        </w:rPr>
        <w:t>-1</w:t>
      </w:r>
      <w:r w:rsidR="001D6A87">
        <w:rPr>
          <w:rStyle w:val="normaltextrun1"/>
          <w:rFonts w:ascii="Arial" w:hAnsi="Arial" w:cs="Arial"/>
        </w:rPr>
        <w:t xml:space="preserve">, demostrando una excelente selectividad. Este arreglo, junto con la </w:t>
      </w:r>
      <w:r w:rsidR="001024D7">
        <w:rPr>
          <w:rStyle w:val="normaltextrun1"/>
          <w:rFonts w:ascii="Arial" w:hAnsi="Arial" w:cs="Arial"/>
        </w:rPr>
        <w:t>voltamperometría de onda cuadrada</w:t>
      </w:r>
      <w:r w:rsidR="001D6A87">
        <w:rPr>
          <w:rStyle w:val="normaltextrun1"/>
          <w:rFonts w:ascii="Arial" w:hAnsi="Arial" w:cs="Arial"/>
        </w:rPr>
        <w:t xml:space="preserve">, constituye una perspectiva </w:t>
      </w:r>
      <w:r w:rsidR="005B0A29">
        <w:rPr>
          <w:rStyle w:val="normaltextrun1"/>
          <w:rFonts w:ascii="Arial" w:hAnsi="Arial" w:cs="Arial"/>
        </w:rPr>
        <w:t>prometedora</w:t>
      </w:r>
      <w:r w:rsidR="001D6A87">
        <w:rPr>
          <w:rStyle w:val="normaltextrun1"/>
          <w:rFonts w:ascii="Arial" w:hAnsi="Arial" w:cs="Arial"/>
        </w:rPr>
        <w:t xml:space="preserve"> para futuras investigaciones en la detección simultanea </w:t>
      </w:r>
      <w:r w:rsidR="005B0A29">
        <w:rPr>
          <w:rStyle w:val="normaltextrun1"/>
          <w:rFonts w:ascii="Arial" w:hAnsi="Arial" w:cs="Arial"/>
        </w:rPr>
        <w:t>iones metálicos tóxicos</w:t>
      </w:r>
      <w:r w:rsidR="001D6A87">
        <w:rPr>
          <w:rStyle w:val="normaltextrun1"/>
          <w:rFonts w:ascii="Arial" w:hAnsi="Arial" w:cs="Arial"/>
        </w:rPr>
        <w:t xml:space="preserve">, con </w:t>
      </w:r>
      <w:r w:rsidR="005B0A29">
        <w:rPr>
          <w:rStyle w:val="normaltextrun1"/>
          <w:rFonts w:ascii="Arial" w:hAnsi="Arial" w:cs="Arial"/>
        </w:rPr>
        <w:t>límites</w:t>
      </w:r>
      <w:r w:rsidR="001D6A87">
        <w:rPr>
          <w:rStyle w:val="normaltextrun1"/>
          <w:rFonts w:ascii="Arial" w:hAnsi="Arial" w:cs="Arial"/>
        </w:rPr>
        <w:t xml:space="preserve"> de detección</w:t>
      </w:r>
      <w:r w:rsidR="005B0A29">
        <w:rPr>
          <w:rStyle w:val="normaltextrun1"/>
          <w:rFonts w:ascii="Arial" w:hAnsi="Arial" w:cs="Arial"/>
        </w:rPr>
        <w:t xml:space="preserve"> a nivel ultra traza. </w:t>
      </w:r>
    </w:p>
    <w:p w14:paraId="4BEB86A9" w14:textId="77777777" w:rsidR="00F469F0" w:rsidRDefault="00F469F0" w:rsidP="00F469F0">
      <w:pPr>
        <w:pStyle w:val="paragraph"/>
        <w:jc w:val="both"/>
        <w:textAlignment w:val="baseline"/>
        <w:rPr>
          <w:rStyle w:val="normaltextrun1"/>
          <w:rFonts w:ascii="Arial" w:hAnsi="Arial" w:cs="Arial"/>
        </w:rPr>
      </w:pPr>
    </w:p>
    <w:p w14:paraId="3BD49AC9" w14:textId="5ED38597" w:rsidR="001F5F8E" w:rsidRPr="000B4F80" w:rsidRDefault="00990A14" w:rsidP="00A8107E">
      <w:pPr>
        <w:jc w:val="both"/>
        <w:rPr>
          <w:rFonts w:ascii="Arial" w:hAnsi="Arial" w:cs="Arial"/>
          <w:sz w:val="24"/>
        </w:rPr>
      </w:pPr>
      <w:r w:rsidRPr="001024D7">
        <w:rPr>
          <w:rFonts w:ascii="Arial" w:hAnsi="Arial" w:cs="Arial"/>
          <w:b/>
          <w:bCs/>
          <w:sz w:val="24"/>
        </w:rPr>
        <w:t>Palabras clave:</w:t>
      </w:r>
      <w:r w:rsidR="00AA08AF">
        <w:rPr>
          <w:rFonts w:ascii="Arial" w:hAnsi="Arial" w:cs="Arial"/>
          <w:b/>
          <w:sz w:val="24"/>
        </w:rPr>
        <w:t xml:space="preserve"> </w:t>
      </w:r>
      <w:r w:rsidR="001024D7">
        <w:rPr>
          <w:rFonts w:ascii="Arial" w:hAnsi="Arial" w:cs="Arial"/>
          <w:sz w:val="24"/>
        </w:rPr>
        <w:t xml:space="preserve">Voltamperometría de onda cuadrada, espectroscopia de impedancia, nanotubos de carbono, quitosano. </w:t>
      </w:r>
    </w:p>
    <w:p w14:paraId="6642EE01" w14:textId="6C0BA735" w:rsidR="00A8107E" w:rsidRDefault="00A8107E" w:rsidP="00063B84">
      <w:pPr>
        <w:rPr>
          <w:rFonts w:ascii="Arial" w:hAnsi="Arial" w:cs="Arial"/>
          <w:b/>
          <w:sz w:val="24"/>
        </w:rPr>
      </w:pPr>
    </w:p>
    <w:p w14:paraId="161A95B7" w14:textId="14EE51E5" w:rsidR="000E3BA8" w:rsidRDefault="000E3BA8" w:rsidP="00063B84">
      <w:pPr>
        <w:rPr>
          <w:rFonts w:ascii="Arial" w:hAnsi="Arial" w:cs="Arial"/>
          <w:b/>
          <w:sz w:val="24"/>
        </w:rPr>
      </w:pPr>
    </w:p>
    <w:p w14:paraId="50E1B636" w14:textId="7E180B1B" w:rsidR="000E3BA8" w:rsidRDefault="000E3BA8" w:rsidP="00063B84">
      <w:pPr>
        <w:rPr>
          <w:rFonts w:ascii="Arial" w:hAnsi="Arial" w:cs="Arial"/>
          <w:b/>
          <w:sz w:val="24"/>
        </w:rPr>
      </w:pPr>
    </w:p>
    <w:p w14:paraId="6879A64A" w14:textId="77777777" w:rsidR="00F469F0" w:rsidRPr="003A418E" w:rsidRDefault="00F469F0" w:rsidP="00063B84">
      <w:pPr>
        <w:rPr>
          <w:rFonts w:ascii="Arial" w:hAnsi="Arial" w:cs="Arial"/>
          <w:b/>
          <w:sz w:val="24"/>
        </w:rPr>
      </w:pPr>
    </w:p>
    <w:p w14:paraId="30B1862A" w14:textId="77777777" w:rsidR="002E7CC0" w:rsidRDefault="006E3DA1" w:rsidP="00063B84">
      <w:pPr>
        <w:rPr>
          <w:rFonts w:ascii="Arial" w:hAnsi="Arial" w:cs="Arial"/>
          <w:b/>
          <w:sz w:val="24"/>
        </w:rPr>
      </w:pPr>
      <w:r>
        <w:rPr>
          <w:rFonts w:ascii="Arial" w:hAnsi="Arial" w:cs="Arial"/>
          <w:b/>
          <w:sz w:val="24"/>
        </w:rPr>
        <w:lastRenderedPageBreak/>
        <w:t>Introducción</w:t>
      </w:r>
    </w:p>
    <w:p w14:paraId="2574BF05" w14:textId="77777777" w:rsidR="00E0784B" w:rsidRDefault="00E0784B" w:rsidP="006F2DC1">
      <w:pPr>
        <w:spacing w:line="360" w:lineRule="auto"/>
        <w:jc w:val="both"/>
        <w:rPr>
          <w:rFonts w:ascii="Arial" w:hAnsi="Arial" w:cs="Arial"/>
          <w:sz w:val="24"/>
        </w:rPr>
        <w:sectPr w:rsidR="00E0784B">
          <w:pgSz w:w="12240" w:h="15840"/>
          <w:pgMar w:top="1417" w:right="1701" w:bottom="1417" w:left="1701" w:header="708" w:footer="708" w:gutter="0"/>
          <w:cols w:space="708"/>
          <w:docGrid w:linePitch="360"/>
        </w:sectPr>
      </w:pPr>
    </w:p>
    <w:p w14:paraId="7BCBEF63" w14:textId="3DB531E2" w:rsidR="001024D7" w:rsidRDefault="001024D7" w:rsidP="00537388">
      <w:pPr>
        <w:widowControl w:val="0"/>
        <w:autoSpaceDE w:val="0"/>
        <w:autoSpaceDN w:val="0"/>
        <w:adjustRightInd w:val="0"/>
        <w:spacing w:line="360" w:lineRule="auto"/>
        <w:jc w:val="both"/>
        <w:rPr>
          <w:rFonts w:ascii="Arial" w:hAnsi="Arial" w:cs="Arial"/>
          <w:bCs/>
          <w:sz w:val="24"/>
        </w:rPr>
      </w:pPr>
      <w:r w:rsidRPr="001024D7">
        <w:rPr>
          <w:rFonts w:ascii="Arial" w:hAnsi="Arial" w:cs="Arial"/>
          <w:bCs/>
          <w:sz w:val="24"/>
        </w:rPr>
        <w:t xml:space="preserve">La contaminación ambiental causada por metales pesados ​​ha sido una </w:t>
      </w:r>
      <w:r>
        <w:rPr>
          <w:rFonts w:ascii="Arial" w:hAnsi="Arial" w:cs="Arial"/>
          <w:bCs/>
          <w:sz w:val="24"/>
        </w:rPr>
        <w:t>problemática</w:t>
      </w:r>
      <w:r w:rsidRPr="001024D7">
        <w:rPr>
          <w:rFonts w:ascii="Arial" w:hAnsi="Arial" w:cs="Arial"/>
          <w:bCs/>
          <w:sz w:val="24"/>
        </w:rPr>
        <w:t xml:space="preserve"> importante en los últimos 50 años, principalmente derivada de la presencia </w:t>
      </w:r>
      <w:r>
        <w:rPr>
          <w:rFonts w:ascii="Arial" w:hAnsi="Arial" w:cs="Arial"/>
          <w:bCs/>
          <w:sz w:val="24"/>
        </w:rPr>
        <w:t xml:space="preserve">cada vez </w:t>
      </w:r>
      <w:r w:rsidRPr="001024D7">
        <w:rPr>
          <w:rFonts w:ascii="Arial" w:hAnsi="Arial" w:cs="Arial"/>
          <w:bCs/>
          <w:sz w:val="24"/>
        </w:rPr>
        <w:t xml:space="preserve">más frecuente de estos contaminantes en ambientes marinos, suelos agrícolas e incluso aire. El cadmio es uno de los metales pesados ​​más peligrosos tanto para el </w:t>
      </w:r>
      <w:r w:rsidR="00CF08D1">
        <w:rPr>
          <w:rFonts w:ascii="Arial" w:hAnsi="Arial" w:cs="Arial"/>
          <w:bCs/>
          <w:sz w:val="24"/>
        </w:rPr>
        <w:t>cuerpo</w:t>
      </w:r>
      <w:r w:rsidRPr="001024D7">
        <w:rPr>
          <w:rFonts w:ascii="Arial" w:hAnsi="Arial" w:cs="Arial"/>
          <w:bCs/>
          <w:sz w:val="24"/>
        </w:rPr>
        <w:t xml:space="preserve"> humano como para los ecosistemas. La exposición a este metal pesado generalmente se debe a la ingesta de agua, </w:t>
      </w:r>
      <w:r w:rsidR="00CF08D1">
        <w:rPr>
          <w:rFonts w:ascii="Arial" w:hAnsi="Arial" w:cs="Arial"/>
          <w:bCs/>
          <w:sz w:val="24"/>
        </w:rPr>
        <w:t>proveniente</w:t>
      </w:r>
      <w:r w:rsidRPr="001024D7">
        <w:rPr>
          <w:rFonts w:ascii="Arial" w:hAnsi="Arial" w:cs="Arial"/>
          <w:bCs/>
          <w:sz w:val="24"/>
        </w:rPr>
        <w:t xml:space="preserve"> </w:t>
      </w:r>
      <w:r w:rsidR="00CF08D1">
        <w:rPr>
          <w:rFonts w:ascii="Arial" w:hAnsi="Arial" w:cs="Arial"/>
          <w:bCs/>
          <w:sz w:val="24"/>
        </w:rPr>
        <w:t>de</w:t>
      </w:r>
      <w:r w:rsidRPr="001024D7">
        <w:rPr>
          <w:rFonts w:ascii="Arial" w:hAnsi="Arial" w:cs="Arial"/>
          <w:bCs/>
          <w:sz w:val="24"/>
        </w:rPr>
        <w:t xml:space="preserve"> </w:t>
      </w:r>
      <w:r w:rsidR="00CF08D1" w:rsidRPr="001024D7">
        <w:rPr>
          <w:rFonts w:ascii="Arial" w:hAnsi="Arial" w:cs="Arial"/>
          <w:bCs/>
          <w:sz w:val="24"/>
        </w:rPr>
        <w:t>cuerpos de agua</w:t>
      </w:r>
      <w:r w:rsidR="00CF08D1" w:rsidRPr="001024D7">
        <w:rPr>
          <w:rFonts w:ascii="Arial" w:hAnsi="Arial" w:cs="Arial"/>
          <w:bCs/>
          <w:sz w:val="24"/>
        </w:rPr>
        <w:t xml:space="preserve"> </w:t>
      </w:r>
      <w:r w:rsidR="00CF08D1">
        <w:rPr>
          <w:rFonts w:ascii="Arial" w:hAnsi="Arial" w:cs="Arial"/>
          <w:bCs/>
          <w:sz w:val="24"/>
        </w:rPr>
        <w:t xml:space="preserve">contaminados por </w:t>
      </w:r>
      <w:r w:rsidRPr="001024D7">
        <w:rPr>
          <w:rFonts w:ascii="Arial" w:hAnsi="Arial" w:cs="Arial"/>
          <w:bCs/>
          <w:sz w:val="24"/>
        </w:rPr>
        <w:t xml:space="preserve">la descarga </w:t>
      </w:r>
      <w:r w:rsidR="006D284A">
        <w:rPr>
          <w:rFonts w:ascii="Arial" w:hAnsi="Arial" w:cs="Arial"/>
          <w:bCs/>
          <w:sz w:val="24"/>
        </w:rPr>
        <w:t xml:space="preserve">de </w:t>
      </w:r>
      <w:r w:rsidRPr="001024D7">
        <w:rPr>
          <w:rFonts w:ascii="Arial" w:hAnsi="Arial" w:cs="Arial"/>
          <w:bCs/>
          <w:sz w:val="24"/>
        </w:rPr>
        <w:t>lixivia</w:t>
      </w:r>
      <w:r w:rsidR="006D284A">
        <w:rPr>
          <w:rFonts w:ascii="Arial" w:hAnsi="Arial" w:cs="Arial"/>
          <w:bCs/>
          <w:sz w:val="24"/>
        </w:rPr>
        <w:t xml:space="preserve">dos </w:t>
      </w:r>
      <w:r w:rsidRPr="001024D7">
        <w:rPr>
          <w:rFonts w:ascii="Arial" w:hAnsi="Arial" w:cs="Arial"/>
          <w:bCs/>
          <w:sz w:val="24"/>
        </w:rPr>
        <w:t>industrial</w:t>
      </w:r>
      <w:r w:rsidR="006D284A">
        <w:rPr>
          <w:rFonts w:ascii="Arial" w:hAnsi="Arial" w:cs="Arial"/>
          <w:bCs/>
          <w:sz w:val="24"/>
        </w:rPr>
        <w:t>es y mineros</w:t>
      </w:r>
      <w:r w:rsidR="00CF08D1">
        <w:rPr>
          <w:rFonts w:ascii="Arial" w:hAnsi="Arial" w:cs="Arial"/>
          <w:bCs/>
          <w:sz w:val="24"/>
        </w:rPr>
        <w:t>.</w:t>
      </w:r>
      <w:r w:rsidRPr="001024D7">
        <w:rPr>
          <w:rFonts w:ascii="Arial" w:hAnsi="Arial" w:cs="Arial"/>
          <w:bCs/>
          <w:sz w:val="24"/>
        </w:rPr>
        <w:t xml:space="preserve"> En el organismo causa graves problemas de salud, ya que altas concentraciones generan alteraciones fisiológicas como daños en los tejidos</w:t>
      </w:r>
      <w:r w:rsidR="006D284A">
        <w:rPr>
          <w:rFonts w:ascii="Arial" w:hAnsi="Arial" w:cs="Arial"/>
          <w:bCs/>
          <w:sz w:val="24"/>
        </w:rPr>
        <w:t>,</w:t>
      </w:r>
      <w:r w:rsidRPr="001024D7">
        <w:rPr>
          <w:rFonts w:ascii="Arial" w:hAnsi="Arial" w:cs="Arial"/>
          <w:bCs/>
          <w:sz w:val="24"/>
        </w:rPr>
        <w:t xml:space="preserve"> en el sistema cardiovascular, sistema nervioso central y sistema inmun</w:t>
      </w:r>
      <w:r>
        <w:rPr>
          <w:rFonts w:ascii="Arial" w:hAnsi="Arial" w:cs="Arial"/>
          <w:bCs/>
          <w:sz w:val="24"/>
        </w:rPr>
        <w:t>ológico</w:t>
      </w:r>
      <w:r w:rsidRPr="001024D7">
        <w:rPr>
          <w:rFonts w:ascii="Arial" w:hAnsi="Arial" w:cs="Arial"/>
          <w:bCs/>
          <w:sz w:val="24"/>
        </w:rPr>
        <w:t xml:space="preserve">, pero especialmente cáncer, </w:t>
      </w:r>
      <w:r>
        <w:rPr>
          <w:rFonts w:ascii="Arial" w:hAnsi="Arial" w:cs="Arial"/>
          <w:bCs/>
          <w:sz w:val="24"/>
        </w:rPr>
        <w:t>pues</w:t>
      </w:r>
      <w:r w:rsidRPr="001024D7">
        <w:rPr>
          <w:rFonts w:ascii="Arial" w:hAnsi="Arial" w:cs="Arial"/>
          <w:bCs/>
          <w:sz w:val="24"/>
        </w:rPr>
        <w:t xml:space="preserve"> está confirmado que es un compuesto cancerígeno</w:t>
      </w:r>
      <w:r w:rsidR="00773711">
        <w:rPr>
          <w:rFonts w:ascii="Arial" w:hAnsi="Arial" w:cs="Arial"/>
          <w:bCs/>
          <w:sz w:val="24"/>
        </w:rPr>
        <w:t xml:space="preserve"> </w:t>
      </w:r>
      <w:r w:rsidR="00773711">
        <w:rPr>
          <w:rFonts w:ascii="Arial" w:hAnsi="Arial" w:cs="Arial"/>
          <w:bCs/>
          <w:sz w:val="24"/>
        </w:rPr>
        <w:fldChar w:fldCharType="begin" w:fldLock="1"/>
      </w:r>
      <w:r w:rsidR="002F4707">
        <w:rPr>
          <w:rFonts w:ascii="Arial" w:hAnsi="Arial" w:cs="Arial"/>
          <w:bCs/>
          <w:sz w:val="24"/>
        </w:rPr>
        <w:instrText>ADDIN CSL_CITATION {"citationItems":[{"id":"ITEM-1","itemData":{"DOI":"10.1016/j.electacta.2009.07.025","ISSN":"00134686","abstract":"This paper studies the detection of copper ions by using an iminodiacetatic acid (IDA) modified conducting copolymer electrode. The copolymer film comprising 3-methyl thiophene (3MT) and 3-thiophene acetic acid (3TA) was chosen as the selective metal cation sensing electrode. The carboxylic group of the copolymer was modified to produce IDA group for metal ion capture. The modified electrode was used for the electrochemical analysis of trace copper ions by square wave voltammetry (SWV) technique. The electrode was found to be highly selective to Cu2+ in the range of 0.1-10 μM. The modified electrode offered an excellent way, with a high stability and reusability, for selective determination of Cu2+ in a solution of mixed metal ions. © 2009 Elsevier Ltd. All rights reserved.","author":[{"dropping-particle":"","family":"Lin","given":"Meng","non-dropping-particle":"","parse-names":false,"suffix":""},{"dropping-particle":"","family":"Cho","given":"Mi Suk","non-dropping-particle":"","parse-names":false,"suffix":""},{"dropping-particle":"","family":"Choe","given":"Woo Seok","non-dropping-particle":"","parse-names":false,"suffix":""},{"dropping-particle":"","family":"Son","given":"Yongkeun","non-dropping-particle":"","parse-names":false,"suffix":""},{"dropping-particle":"","family":"Lee","given":"Youngkwan","non-dropping-particle":"","parse-names":false,"suffix":""}],"container-title":"Electrochimica Acta","id":"ITEM-1","issue":"27","issued":{"date-parts":[["2009"]]},"page":"7012-7017","title":"Electrochemical detection of copper ion using a modified copolythiophene electrode","type":"article-journal","volume":"54"},"uris":["http://www.mendeley.com/documents/?uuid=781c1c40-19fd-46ec-8abf-71a97d85419c"]}],"mendeley":{"formattedCitation":"(Lin, Cho, Choe, Son, &amp; Lee, 2009)","manualFormatting":"(Lin, Cho, Choe, Son y Lee, 2009)","plainTextFormattedCitation":"(Lin, Cho, Choe, Son, &amp; Lee, 2009)","previouslyFormattedCitation":"(Lin, Cho, Choe, Son, &amp; Lee, 2009)"},"properties":{"noteIndex":0},"schema":"https://github.com/citation-style-language/schema/raw/master/csl-citation.json"}</w:instrText>
      </w:r>
      <w:r w:rsidR="00773711">
        <w:rPr>
          <w:rFonts w:ascii="Arial" w:hAnsi="Arial" w:cs="Arial"/>
          <w:bCs/>
          <w:sz w:val="24"/>
        </w:rPr>
        <w:fldChar w:fldCharType="separate"/>
      </w:r>
      <w:r w:rsidR="002F4707" w:rsidRPr="002F4707">
        <w:rPr>
          <w:rFonts w:ascii="Arial" w:hAnsi="Arial" w:cs="Arial"/>
          <w:bCs/>
          <w:noProof/>
          <w:sz w:val="24"/>
        </w:rPr>
        <w:t>(Lin, Cho, Choe, Son</w:t>
      </w:r>
      <w:r w:rsidR="002F4707">
        <w:rPr>
          <w:rFonts w:ascii="Arial" w:hAnsi="Arial" w:cs="Arial"/>
          <w:bCs/>
          <w:noProof/>
          <w:sz w:val="24"/>
        </w:rPr>
        <w:t xml:space="preserve"> y</w:t>
      </w:r>
      <w:r w:rsidR="002F4707" w:rsidRPr="002F4707">
        <w:rPr>
          <w:rFonts w:ascii="Arial" w:hAnsi="Arial" w:cs="Arial"/>
          <w:bCs/>
          <w:noProof/>
          <w:sz w:val="24"/>
        </w:rPr>
        <w:t xml:space="preserve"> Lee, 2009)</w:t>
      </w:r>
      <w:r w:rsidR="00773711">
        <w:rPr>
          <w:rFonts w:ascii="Arial" w:hAnsi="Arial" w:cs="Arial"/>
          <w:bCs/>
          <w:sz w:val="24"/>
        </w:rPr>
        <w:fldChar w:fldCharType="end"/>
      </w:r>
      <w:r w:rsidR="00773711">
        <w:rPr>
          <w:rFonts w:ascii="Arial" w:hAnsi="Arial" w:cs="Arial"/>
          <w:bCs/>
          <w:sz w:val="24"/>
        </w:rPr>
        <w:t>.</w:t>
      </w:r>
    </w:p>
    <w:p w14:paraId="0094C96C" w14:textId="6DB7F100" w:rsidR="001024D7" w:rsidRDefault="001024D7" w:rsidP="00C82611">
      <w:pPr>
        <w:spacing w:line="360" w:lineRule="auto"/>
        <w:ind w:firstLine="708"/>
        <w:jc w:val="both"/>
        <w:rPr>
          <w:rFonts w:ascii="Arial" w:hAnsi="Arial" w:cs="Arial"/>
          <w:bCs/>
          <w:sz w:val="24"/>
        </w:rPr>
      </w:pPr>
      <w:r w:rsidRPr="001024D7">
        <w:rPr>
          <w:rFonts w:ascii="Arial" w:hAnsi="Arial" w:cs="Arial"/>
          <w:bCs/>
          <w:sz w:val="24"/>
        </w:rPr>
        <w:t xml:space="preserve">Actualmente se utilizan métodos analíticos </w:t>
      </w:r>
      <w:r w:rsidR="006D284A">
        <w:rPr>
          <w:rFonts w:ascii="Arial" w:hAnsi="Arial" w:cs="Arial"/>
          <w:bCs/>
          <w:sz w:val="24"/>
        </w:rPr>
        <w:t xml:space="preserve">para cuantificar cadmio, </w:t>
      </w:r>
      <w:r w:rsidRPr="001024D7">
        <w:rPr>
          <w:rFonts w:ascii="Arial" w:hAnsi="Arial" w:cs="Arial"/>
          <w:bCs/>
          <w:sz w:val="24"/>
        </w:rPr>
        <w:t xml:space="preserve">como la espectroscopía de absorción atómica, fluorescencia atómica y, recientemente, </w:t>
      </w:r>
      <w:r w:rsidR="006D284A">
        <w:rPr>
          <w:rFonts w:ascii="Arial" w:hAnsi="Arial" w:cs="Arial"/>
          <w:bCs/>
          <w:sz w:val="24"/>
        </w:rPr>
        <w:t>la</w:t>
      </w:r>
      <w:r w:rsidRPr="001024D7">
        <w:rPr>
          <w:rFonts w:ascii="Arial" w:hAnsi="Arial" w:cs="Arial"/>
          <w:bCs/>
          <w:sz w:val="24"/>
        </w:rPr>
        <w:t xml:space="preserve"> espectrometría con plasma acoplado inductivamente. Sin embargo, estas técnicas tienen algunas desventajas, como el uso de equipos complejos con altos costos de operación, </w:t>
      </w:r>
      <w:r w:rsidR="00321E1E">
        <w:rPr>
          <w:rFonts w:ascii="Arial" w:hAnsi="Arial" w:cs="Arial"/>
          <w:bCs/>
          <w:sz w:val="24"/>
        </w:rPr>
        <w:t>limitación de solo cuantificar elementos individualmente</w:t>
      </w:r>
      <w:r w:rsidR="006D284A">
        <w:rPr>
          <w:rFonts w:ascii="Arial" w:hAnsi="Arial" w:cs="Arial"/>
          <w:bCs/>
          <w:sz w:val="24"/>
        </w:rPr>
        <w:t xml:space="preserve"> y</w:t>
      </w:r>
      <w:r w:rsidRPr="001024D7">
        <w:rPr>
          <w:rFonts w:ascii="Arial" w:hAnsi="Arial" w:cs="Arial"/>
          <w:bCs/>
          <w:sz w:val="24"/>
        </w:rPr>
        <w:t xml:space="preserve"> además</w:t>
      </w:r>
      <w:r w:rsidR="006D284A">
        <w:rPr>
          <w:rFonts w:ascii="Arial" w:hAnsi="Arial" w:cs="Arial"/>
          <w:bCs/>
          <w:sz w:val="24"/>
        </w:rPr>
        <w:t xml:space="preserve">, se requiere </w:t>
      </w:r>
      <w:r w:rsidRPr="001024D7">
        <w:rPr>
          <w:rFonts w:ascii="Arial" w:hAnsi="Arial" w:cs="Arial"/>
          <w:bCs/>
          <w:sz w:val="24"/>
        </w:rPr>
        <w:t>un alto nivel de conocimiento</w:t>
      </w:r>
      <w:r>
        <w:rPr>
          <w:rFonts w:ascii="Arial" w:hAnsi="Arial" w:cs="Arial"/>
          <w:bCs/>
          <w:sz w:val="24"/>
        </w:rPr>
        <w:t xml:space="preserve"> </w:t>
      </w:r>
      <w:r w:rsidR="00DA7D28">
        <w:rPr>
          <w:rFonts w:ascii="Arial" w:hAnsi="Arial" w:cs="Arial"/>
          <w:bCs/>
          <w:sz w:val="24"/>
        </w:rPr>
        <w:t>para su</w:t>
      </w:r>
      <w:r w:rsidR="006D284A">
        <w:rPr>
          <w:rFonts w:ascii="Arial" w:hAnsi="Arial" w:cs="Arial"/>
          <w:bCs/>
          <w:sz w:val="24"/>
        </w:rPr>
        <w:t xml:space="preserve"> </w:t>
      </w:r>
      <w:r w:rsidRPr="001024D7">
        <w:rPr>
          <w:rFonts w:ascii="Arial" w:hAnsi="Arial" w:cs="Arial"/>
          <w:bCs/>
          <w:sz w:val="24"/>
        </w:rPr>
        <w:t>operación</w:t>
      </w:r>
      <w:r w:rsidR="00773711">
        <w:rPr>
          <w:rFonts w:ascii="Arial" w:hAnsi="Arial" w:cs="Arial"/>
          <w:bCs/>
          <w:sz w:val="24"/>
        </w:rPr>
        <w:t xml:space="preserve"> </w:t>
      </w:r>
      <w:r w:rsidR="00773711">
        <w:rPr>
          <w:rFonts w:ascii="Arial" w:hAnsi="Arial" w:cs="Arial"/>
          <w:bCs/>
          <w:sz w:val="24"/>
        </w:rPr>
        <w:fldChar w:fldCharType="begin" w:fldLock="1"/>
      </w:r>
      <w:r w:rsidR="005F6317">
        <w:rPr>
          <w:rFonts w:ascii="Arial" w:hAnsi="Arial" w:cs="Arial"/>
          <w:bCs/>
          <w:sz w:val="24"/>
        </w:rPr>
        <w:instrText>ADDIN CSL_CITATION {"citationItems":[{"id":"ITEM-1","itemData":{"DOI":"10.3390/s17081832","ISSN":"14248220","abstract":"© 2017 by the authors. Licensee MDPI, Basel, Switzerland.  In this study, the preparation and electrochemical application of a chromium(III) oxide modified carbon paste electrode (Cr-CPE) and a screen printed electrode (SPE), made from the same material and optimized for the simple, cheap and sensitive simultaneous determination of zinc, cadmium, lead, copper and the detection of silver ions, is described. The limits of detection and quantification were 25 and 80 µg·L −1 for Zn(II), 3 and 10 µg·L −1 for Cd(II), 3 and 10 µg·L −1 for Pb(II), 3 and 10 µg·L −1 for Cu(II), and 3 and 10 µg·L −1 for Ag(I), respectively. Furthermore, this promising modification was transferred to the screen-printed electrode. The limits of detection for the simultaneous determination of zinc, cadmium, copper and lead on the screen printed electrodes were found to be 350 µg·L −1 for Zn(II), 25 µg·L −1 for Cd(II), 3 µg·L −1 for Pb(II) and 3 µg·L −1 for Cu(II). Practical usability for the simultaneous detection of these heavy metal ions by the Cr-CPE was also demonstrated in the analyses of wastewaters.","author":[{"dropping-particle":"","family":"Koudelkova","given":"Zuzana","non-dropping-particle":"","parse-names":false,"suffix":""},{"dropping-particle":"","family":"Syrovy","given":"Tomas","non-dropping-particle":"","parse-names":false,"suffix":""},{"dropping-particle":"","family":"Ambrozova","given":"Pavlina","non-dropping-particle":"","parse-names":false,"suffix":""},{"dropping-particle":"","family":"Moravec","given":"Zdenek","non-dropping-particle":"","parse-names":false,"suffix":""},{"dropping-particle":"","family":"Kubac","given":"Lubomir","non-dropping-particle":"","parse-names":false,"suffix":""},{"dropping-particle":"","family":"Hynek","given":"David","non-dropping-particle":"","parse-names":false,"suffix":""},{"dropping-particle":"","family":"Richtera","given":"Lukas","non-dropping-particle":"","parse-names":false,"suffix":""},{"dropping-particle":"","family":"Adam","given":"Vojtech","non-dropping-particle":"","parse-names":false,"suffix":""}],"container-title":"Sensors (Switzerland)","id":"ITEM-1","issue":"8","issued":{"date-parts":[["2017"]]},"title":"Determination of zinc, cadmium, lead, copper and silver using a carbon paste electrode and a screen printed electrode modified with chromium(III) oxide","type":"article-journal","volume":"17"},"uris":["http://www.mendeley.com/documents/?uuid=aa2383b9-ab02-431f-94d2-fbe7ca82665a"]}],"mendeley":{"formattedCitation":"(Koudelkova et al., 2017)","plainTextFormattedCitation":"(Koudelkova et al., 2017)","previouslyFormattedCitation":"(Koudelkova et al., 2017)"},"properties":{"noteIndex":0},"schema":"https://github.com/citation-style-language/schema/raw/master/csl-citation.json"}</w:instrText>
      </w:r>
      <w:r w:rsidR="00773711">
        <w:rPr>
          <w:rFonts w:ascii="Arial" w:hAnsi="Arial" w:cs="Arial"/>
          <w:bCs/>
          <w:sz w:val="24"/>
        </w:rPr>
        <w:fldChar w:fldCharType="separate"/>
      </w:r>
      <w:r w:rsidR="00773711" w:rsidRPr="00773711">
        <w:rPr>
          <w:rFonts w:ascii="Arial" w:hAnsi="Arial" w:cs="Arial"/>
          <w:bCs/>
          <w:noProof/>
          <w:sz w:val="24"/>
        </w:rPr>
        <w:t>(Koudelkova et al., 2017)</w:t>
      </w:r>
      <w:r w:rsidR="00773711">
        <w:rPr>
          <w:rFonts w:ascii="Arial" w:hAnsi="Arial" w:cs="Arial"/>
          <w:bCs/>
          <w:sz w:val="24"/>
        </w:rPr>
        <w:fldChar w:fldCharType="end"/>
      </w:r>
      <w:r w:rsidR="005F6317">
        <w:rPr>
          <w:rFonts w:ascii="Arial" w:hAnsi="Arial" w:cs="Arial"/>
          <w:bCs/>
          <w:sz w:val="24"/>
        </w:rPr>
        <w:t>.</w:t>
      </w:r>
    </w:p>
    <w:p w14:paraId="36C0ED4D" w14:textId="38EDA46D" w:rsidR="001024D7" w:rsidRPr="001024D7" w:rsidRDefault="00864295" w:rsidP="00321E1E">
      <w:pPr>
        <w:spacing w:line="360" w:lineRule="auto"/>
        <w:ind w:firstLine="708"/>
        <w:jc w:val="both"/>
        <w:rPr>
          <w:rFonts w:ascii="Arial" w:hAnsi="Arial" w:cs="Arial"/>
          <w:bCs/>
          <w:sz w:val="24"/>
        </w:rPr>
      </w:pPr>
      <w:r>
        <w:rPr>
          <w:rFonts w:ascii="Arial" w:hAnsi="Arial" w:cs="Arial"/>
          <w:bCs/>
          <w:sz w:val="24"/>
        </w:rPr>
        <w:t>La</w:t>
      </w:r>
      <w:r w:rsidR="00321E1E" w:rsidRPr="001024D7">
        <w:rPr>
          <w:rFonts w:ascii="Arial" w:hAnsi="Arial" w:cs="Arial"/>
          <w:bCs/>
          <w:sz w:val="24"/>
        </w:rPr>
        <w:t xml:space="preserve"> aplicación de métodos electroquímicos ofrece</w:t>
      </w:r>
      <w:r w:rsidR="00C82611" w:rsidRPr="001024D7">
        <w:rPr>
          <w:rFonts w:ascii="Arial" w:hAnsi="Arial" w:cs="Arial"/>
          <w:bCs/>
          <w:sz w:val="24"/>
        </w:rPr>
        <w:t xml:space="preserve"> una alternativa para el análisis de trazas de cadmio y otros metales en </w:t>
      </w:r>
      <w:r>
        <w:rPr>
          <w:rFonts w:ascii="Arial" w:hAnsi="Arial" w:cs="Arial"/>
          <w:bCs/>
          <w:sz w:val="24"/>
        </w:rPr>
        <w:t>di</w:t>
      </w:r>
      <w:r w:rsidR="00C82611" w:rsidRPr="001024D7">
        <w:rPr>
          <w:rFonts w:ascii="Arial" w:hAnsi="Arial" w:cs="Arial"/>
          <w:bCs/>
          <w:sz w:val="24"/>
        </w:rPr>
        <w:t>solución.</w:t>
      </w:r>
      <w:r w:rsidR="00321E1E">
        <w:rPr>
          <w:rFonts w:ascii="Arial" w:hAnsi="Arial" w:cs="Arial"/>
          <w:bCs/>
          <w:sz w:val="24"/>
        </w:rPr>
        <w:t xml:space="preserve"> </w:t>
      </w:r>
      <w:r w:rsidR="001024D7" w:rsidRPr="001024D7">
        <w:rPr>
          <w:rFonts w:ascii="Arial" w:hAnsi="Arial" w:cs="Arial"/>
          <w:bCs/>
          <w:sz w:val="24"/>
        </w:rPr>
        <w:t>Dentro</w:t>
      </w:r>
      <w:r w:rsidR="00321E1E">
        <w:rPr>
          <w:rFonts w:ascii="Arial" w:hAnsi="Arial" w:cs="Arial"/>
          <w:bCs/>
          <w:sz w:val="24"/>
        </w:rPr>
        <w:t xml:space="preserve"> </w:t>
      </w:r>
      <w:r w:rsidR="001024D7" w:rsidRPr="001024D7">
        <w:rPr>
          <w:rFonts w:ascii="Arial" w:hAnsi="Arial" w:cs="Arial"/>
          <w:bCs/>
          <w:sz w:val="24"/>
        </w:rPr>
        <w:t>de las técnicas electroanalíticas utilizadas, la voltamperometría de onda cuadrada (SWV) se destaca por ofrecer alta selectividad y bajos límites de detección</w:t>
      </w:r>
      <w:r w:rsidR="00087123">
        <w:rPr>
          <w:rFonts w:ascii="Arial" w:hAnsi="Arial" w:cs="Arial"/>
          <w:bCs/>
          <w:sz w:val="24"/>
        </w:rPr>
        <w:t>,</w:t>
      </w:r>
      <w:r w:rsidR="00087123" w:rsidRPr="001024D7">
        <w:rPr>
          <w:rFonts w:ascii="Arial" w:hAnsi="Arial" w:cs="Arial"/>
          <w:bCs/>
          <w:sz w:val="24"/>
        </w:rPr>
        <w:t xml:space="preserve"> la técnica es relativamente fácil de aplicar</w:t>
      </w:r>
      <w:r w:rsidR="0048302E">
        <w:rPr>
          <w:rFonts w:ascii="Arial" w:hAnsi="Arial" w:cs="Arial"/>
          <w:bCs/>
          <w:sz w:val="24"/>
        </w:rPr>
        <w:t>,</w:t>
      </w:r>
      <w:r w:rsidR="00087123" w:rsidRPr="001024D7">
        <w:rPr>
          <w:rFonts w:ascii="Arial" w:hAnsi="Arial" w:cs="Arial"/>
          <w:bCs/>
          <w:sz w:val="24"/>
        </w:rPr>
        <w:t xml:space="preserve"> tiene bajos costos de operación </w:t>
      </w:r>
      <w:r w:rsidR="0048302E">
        <w:rPr>
          <w:rFonts w:ascii="Arial" w:hAnsi="Arial" w:cs="Arial"/>
          <w:bCs/>
          <w:sz w:val="24"/>
        </w:rPr>
        <w:t xml:space="preserve">y es posible cuantificar varias especies iónicas a la vez </w:t>
      </w:r>
      <w:r w:rsidR="005F6317">
        <w:rPr>
          <w:rFonts w:ascii="Arial" w:hAnsi="Arial" w:cs="Arial"/>
          <w:bCs/>
          <w:sz w:val="24"/>
        </w:rPr>
        <w:fldChar w:fldCharType="begin" w:fldLock="1"/>
      </w:r>
      <w:r w:rsidR="0048302E">
        <w:rPr>
          <w:rFonts w:ascii="Arial" w:hAnsi="Arial" w:cs="Arial"/>
          <w:bCs/>
          <w:sz w:val="24"/>
        </w:rPr>
        <w:instrText>ADDIN CSL_CITATION {"citationItems":[{"id":"ITEM-1","itemData":{"DOI":"10.1016/j.jpha.2017.11.001","ISSN":"20951779","abstract":"An ultrasensitive electrochemical sensor based on polydopamine/carboxylic multi-walled carbon nanotubes (MWCNTs−COOH) nanocomposites modified glassy carbon electrode (GCE) was presented in this work, which has been developed for highly selective and highly sensitive determination of an antimicrobial drug, metronidazole. The preparation of polydopamine/MWCNTs–COOH nanocomposites/GCE sensor is simple and possesses high reproducible, where polydopamine can be coated on the surface of MWCNTs–COOH via a simple electropolymerization process. Under optimized conditions, the proposed sensor showed ultrasensitive determination for metronidazole with a wide linear detection range from 5 to 5000 µmol/dm3 and a low detection limit of 0.25 µmol/dm3 (S/N = 3). Moreover, the proposed sensor has been successfully applied for the quantitative determination of metronidazole in real drug samples. This work may provide a novel and effective analytical platform for determination of metronidazole in application of real pharmaceutical and biological samples analysis.","author":[{"dropping-particle":"","family":"Tursynbolat","given":"Satar","non-dropping-particle":"","parse-names":false,"suffix":""},{"dropping-particle":"","family":"Bakytkarim","given":"Yrysgul","non-dropping-particle":"","parse-names":false,"suffix":""},{"dropping-particle":"","family":"Huang","given":"Jianzhi","non-dropping-particle":"","parse-names":false,"suffix":""},{"dropping-particle":"","family":"Wang","given":"Lishi","non-dropping-particle":"","parse-names":false,"suffix":""}],"container-title":"Journal of Pharmaceutical Analysis","id":"ITEM-1","issue":"2","issued":{"date-parts":[["2018"]]},"page":"124-130","publisher":"Elsevier B.V.","title":"Ultrasensitive electrochemical determination of metronidazole based on polydopamine/carboxylic multi-walled carbon nanotubes nanocomposites modified GCE","type":"article-journal","volume":"8"},"uris":["http://www.mendeley.com/documents/?uuid=8b08dc52-afc0-446f-b2ce-763a649876ee"]}],"mendeley":{"formattedCitation":"(Tursynbolat, Bakytkarim, Huang, &amp; Wang, 2018)","manualFormatting":"(Tursynbolat, Bakytkarim y Wang, 2018)","plainTextFormattedCitation":"(Tursynbolat, Bakytkarim, Huang, &amp; Wang, 2018)","previouslyFormattedCitation":"(Tursynbolat, Bakytkarim, Huang, &amp; Wang, 2018)"},"properties":{"noteIndex":0},"schema":"https://github.com/citation-style-language/schema/raw/master/csl-citation.json"}</w:instrText>
      </w:r>
      <w:r w:rsidR="005F6317">
        <w:rPr>
          <w:rFonts w:ascii="Arial" w:hAnsi="Arial" w:cs="Arial"/>
          <w:bCs/>
          <w:sz w:val="24"/>
        </w:rPr>
        <w:fldChar w:fldCharType="separate"/>
      </w:r>
      <w:r w:rsidR="005F6317" w:rsidRPr="005F6317">
        <w:rPr>
          <w:rFonts w:ascii="Arial" w:hAnsi="Arial" w:cs="Arial"/>
          <w:bCs/>
          <w:noProof/>
          <w:sz w:val="24"/>
        </w:rPr>
        <w:t>(Tursynbolat, Bakytkarim</w:t>
      </w:r>
      <w:r w:rsidR="002F4707">
        <w:rPr>
          <w:rFonts w:ascii="Arial" w:hAnsi="Arial" w:cs="Arial"/>
          <w:bCs/>
          <w:noProof/>
          <w:sz w:val="24"/>
        </w:rPr>
        <w:t xml:space="preserve"> y</w:t>
      </w:r>
      <w:r w:rsidR="005F6317" w:rsidRPr="005F6317">
        <w:rPr>
          <w:rFonts w:ascii="Arial" w:hAnsi="Arial" w:cs="Arial"/>
          <w:bCs/>
          <w:noProof/>
          <w:sz w:val="24"/>
        </w:rPr>
        <w:t xml:space="preserve"> Wang, 2018)</w:t>
      </w:r>
      <w:r w:rsidR="005F6317">
        <w:rPr>
          <w:rFonts w:ascii="Arial" w:hAnsi="Arial" w:cs="Arial"/>
          <w:bCs/>
          <w:sz w:val="24"/>
        </w:rPr>
        <w:fldChar w:fldCharType="end"/>
      </w:r>
      <w:r w:rsidR="005F6317">
        <w:rPr>
          <w:rFonts w:ascii="Arial" w:hAnsi="Arial" w:cs="Arial"/>
          <w:bCs/>
          <w:sz w:val="24"/>
        </w:rPr>
        <w:t>.</w:t>
      </w:r>
    </w:p>
    <w:p w14:paraId="52243E1D" w14:textId="3C59FB96" w:rsidR="001024D7" w:rsidRDefault="00087123" w:rsidP="00087123">
      <w:pPr>
        <w:spacing w:line="360" w:lineRule="auto"/>
        <w:ind w:firstLine="708"/>
        <w:jc w:val="both"/>
        <w:rPr>
          <w:rFonts w:ascii="Arial" w:hAnsi="Arial" w:cs="Arial"/>
          <w:bCs/>
          <w:sz w:val="24"/>
        </w:rPr>
      </w:pPr>
      <w:r>
        <w:rPr>
          <w:rFonts w:ascii="Arial" w:hAnsi="Arial" w:cs="Arial"/>
          <w:bCs/>
          <w:sz w:val="24"/>
        </w:rPr>
        <w:t>Dentro</w:t>
      </w:r>
      <w:r w:rsidR="001024D7" w:rsidRPr="001024D7">
        <w:rPr>
          <w:rFonts w:ascii="Arial" w:hAnsi="Arial" w:cs="Arial"/>
          <w:bCs/>
          <w:sz w:val="24"/>
        </w:rPr>
        <w:t xml:space="preserve"> de la sección experimental se encuentra otra parte fundamental de la técnica, como </w:t>
      </w:r>
      <w:r w:rsidR="00321E1E">
        <w:rPr>
          <w:rFonts w:ascii="Arial" w:hAnsi="Arial" w:cs="Arial"/>
          <w:bCs/>
          <w:sz w:val="24"/>
        </w:rPr>
        <w:t>lo es el</w:t>
      </w:r>
      <w:r w:rsidR="001024D7" w:rsidRPr="001024D7">
        <w:rPr>
          <w:rFonts w:ascii="Arial" w:hAnsi="Arial" w:cs="Arial"/>
          <w:bCs/>
          <w:sz w:val="24"/>
        </w:rPr>
        <w:t xml:space="preserve"> uso de electrodos de carbono vítreo modificados, p</w:t>
      </w:r>
      <w:r>
        <w:rPr>
          <w:rFonts w:ascii="Arial" w:hAnsi="Arial" w:cs="Arial"/>
          <w:bCs/>
          <w:sz w:val="24"/>
        </w:rPr>
        <w:t>ues</w:t>
      </w:r>
      <w:r w:rsidR="001024D7" w:rsidRPr="001024D7">
        <w:rPr>
          <w:rFonts w:ascii="Arial" w:hAnsi="Arial" w:cs="Arial"/>
          <w:bCs/>
          <w:sz w:val="24"/>
        </w:rPr>
        <w:t xml:space="preserve"> permiten mejorar la precisión, los límites de detección, </w:t>
      </w:r>
      <w:r w:rsidR="0048302E">
        <w:rPr>
          <w:rFonts w:ascii="Arial" w:hAnsi="Arial" w:cs="Arial"/>
          <w:bCs/>
          <w:sz w:val="24"/>
        </w:rPr>
        <w:t xml:space="preserve">de </w:t>
      </w:r>
      <w:r w:rsidR="001024D7" w:rsidRPr="001024D7">
        <w:rPr>
          <w:rFonts w:ascii="Arial" w:hAnsi="Arial" w:cs="Arial"/>
          <w:bCs/>
          <w:sz w:val="24"/>
        </w:rPr>
        <w:t>cuantificación y la reproducibilidad significativamente. Se han propuesto</w:t>
      </w:r>
      <w:r w:rsidR="00DA7D28">
        <w:rPr>
          <w:rFonts w:ascii="Arial" w:hAnsi="Arial" w:cs="Arial"/>
          <w:bCs/>
          <w:sz w:val="24"/>
        </w:rPr>
        <w:t xml:space="preserve"> el uso de</w:t>
      </w:r>
      <w:r w:rsidR="001024D7" w:rsidRPr="001024D7">
        <w:rPr>
          <w:rFonts w:ascii="Arial" w:hAnsi="Arial" w:cs="Arial"/>
          <w:bCs/>
          <w:sz w:val="24"/>
        </w:rPr>
        <w:t xml:space="preserve"> diversos materiales:</w:t>
      </w:r>
      <w:r w:rsidR="00DA7D28">
        <w:rPr>
          <w:rFonts w:ascii="Arial" w:hAnsi="Arial" w:cs="Arial"/>
          <w:bCs/>
          <w:sz w:val="24"/>
        </w:rPr>
        <w:t xml:space="preserve"> </w:t>
      </w:r>
      <w:r w:rsidR="001024D7" w:rsidRPr="001024D7">
        <w:rPr>
          <w:rFonts w:ascii="Arial" w:hAnsi="Arial" w:cs="Arial"/>
          <w:bCs/>
          <w:sz w:val="24"/>
        </w:rPr>
        <w:t xml:space="preserve">polímeros, nanopartículas metálicas, </w:t>
      </w:r>
      <w:r w:rsidR="00DA7D28">
        <w:rPr>
          <w:rFonts w:ascii="Arial" w:hAnsi="Arial" w:cs="Arial"/>
          <w:bCs/>
          <w:sz w:val="24"/>
        </w:rPr>
        <w:t>compuestos de coordinación,</w:t>
      </w:r>
      <w:r w:rsidR="00DA7D28" w:rsidRPr="001024D7">
        <w:rPr>
          <w:rFonts w:ascii="Arial" w:hAnsi="Arial" w:cs="Arial"/>
          <w:bCs/>
          <w:sz w:val="24"/>
        </w:rPr>
        <w:t xml:space="preserve"> </w:t>
      </w:r>
      <w:r w:rsidR="001024D7" w:rsidRPr="001024D7">
        <w:rPr>
          <w:rFonts w:ascii="Arial" w:hAnsi="Arial" w:cs="Arial"/>
          <w:bCs/>
          <w:sz w:val="24"/>
        </w:rPr>
        <w:t>moléculas orgánicas y macromoléculas. Sin embargo, los nanotubos de carbono (CNT) y sus variantes se han convertido en uno de los materiales más versátiles y eficientes</w:t>
      </w:r>
      <w:r w:rsidR="00DA7D28">
        <w:rPr>
          <w:rFonts w:ascii="Arial" w:hAnsi="Arial" w:cs="Arial"/>
          <w:bCs/>
          <w:sz w:val="24"/>
        </w:rPr>
        <w:t xml:space="preserve"> debido a </w:t>
      </w:r>
      <w:r w:rsidR="001024D7" w:rsidRPr="001024D7">
        <w:rPr>
          <w:rFonts w:ascii="Arial" w:hAnsi="Arial" w:cs="Arial"/>
          <w:bCs/>
          <w:sz w:val="24"/>
        </w:rPr>
        <w:t>sus propiedades</w:t>
      </w:r>
      <w:r w:rsidR="00DA7D28">
        <w:rPr>
          <w:rFonts w:ascii="Arial" w:hAnsi="Arial" w:cs="Arial"/>
          <w:bCs/>
          <w:sz w:val="24"/>
        </w:rPr>
        <w:t xml:space="preserve">, como </w:t>
      </w:r>
      <w:r w:rsidR="001024D7" w:rsidRPr="001024D7">
        <w:rPr>
          <w:rFonts w:ascii="Arial" w:hAnsi="Arial" w:cs="Arial"/>
          <w:bCs/>
          <w:sz w:val="24"/>
        </w:rPr>
        <w:t>bajo costo de producción por unidad, alta estabilidad termoquímica, superficie activa notable, inercia químic</w:t>
      </w:r>
      <w:r w:rsidR="00773711">
        <w:rPr>
          <w:rFonts w:ascii="Arial" w:hAnsi="Arial" w:cs="Arial"/>
          <w:bCs/>
          <w:sz w:val="24"/>
        </w:rPr>
        <w:t>a</w:t>
      </w:r>
      <w:r w:rsidR="001024D7" w:rsidRPr="001024D7">
        <w:rPr>
          <w:rFonts w:ascii="Arial" w:hAnsi="Arial" w:cs="Arial"/>
          <w:bCs/>
          <w:sz w:val="24"/>
        </w:rPr>
        <w:t xml:space="preserve"> y </w:t>
      </w:r>
      <w:r w:rsidR="00321E1E">
        <w:rPr>
          <w:rFonts w:ascii="Arial" w:hAnsi="Arial" w:cs="Arial"/>
          <w:bCs/>
          <w:sz w:val="24"/>
        </w:rPr>
        <w:t xml:space="preserve">principalmente, </w:t>
      </w:r>
      <w:r w:rsidR="001024D7" w:rsidRPr="001024D7">
        <w:rPr>
          <w:rFonts w:ascii="Arial" w:hAnsi="Arial" w:cs="Arial"/>
          <w:bCs/>
          <w:sz w:val="24"/>
        </w:rPr>
        <w:t xml:space="preserve">la capacidad de mantener </w:t>
      </w:r>
      <w:r w:rsidR="00DA7D28">
        <w:rPr>
          <w:rFonts w:ascii="Arial" w:hAnsi="Arial" w:cs="Arial"/>
          <w:bCs/>
          <w:sz w:val="24"/>
        </w:rPr>
        <w:t>y</w:t>
      </w:r>
      <w:r w:rsidR="001024D7" w:rsidRPr="001024D7">
        <w:rPr>
          <w:rFonts w:ascii="Arial" w:hAnsi="Arial" w:cs="Arial"/>
          <w:bCs/>
          <w:sz w:val="24"/>
        </w:rPr>
        <w:t xml:space="preserve"> mejorar propiedades eléctricas cuando </w:t>
      </w:r>
      <w:r w:rsidR="00DA7D28">
        <w:rPr>
          <w:rFonts w:ascii="Arial" w:hAnsi="Arial" w:cs="Arial"/>
          <w:bCs/>
          <w:noProof/>
          <w:sz w:val="24"/>
        </w:rPr>
        <w:drawing>
          <wp:anchor distT="0" distB="0" distL="114300" distR="114300" simplePos="0" relativeHeight="251762688" behindDoc="1" locked="0" layoutInCell="1" allowOverlap="1" wp14:anchorId="12C91D43" wp14:editId="5F940651">
            <wp:simplePos x="0" y="0"/>
            <wp:positionH relativeFrom="margin">
              <wp:posOffset>1646555</wp:posOffset>
            </wp:positionH>
            <wp:positionV relativeFrom="paragraph">
              <wp:posOffset>1629044</wp:posOffset>
            </wp:positionV>
            <wp:extent cx="2290804" cy="3115365"/>
            <wp:effectExtent l="0" t="0" r="0" b="889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0804" cy="3115365"/>
                    </a:xfrm>
                    <a:prstGeom prst="rect">
                      <a:avLst/>
                    </a:prstGeom>
                    <a:noFill/>
                  </pic:spPr>
                </pic:pic>
              </a:graphicData>
            </a:graphic>
            <wp14:sizeRelH relativeFrom="page">
              <wp14:pctWidth>0</wp14:pctWidth>
            </wp14:sizeRelH>
            <wp14:sizeRelV relativeFrom="page">
              <wp14:pctHeight>0</wp14:pctHeight>
            </wp14:sizeRelV>
          </wp:anchor>
        </w:drawing>
      </w:r>
      <w:r w:rsidR="001024D7" w:rsidRPr="001024D7">
        <w:rPr>
          <w:rFonts w:ascii="Arial" w:hAnsi="Arial" w:cs="Arial"/>
          <w:bCs/>
          <w:sz w:val="24"/>
        </w:rPr>
        <w:t>se somete</w:t>
      </w:r>
      <w:r w:rsidR="00DA7D28">
        <w:rPr>
          <w:rFonts w:ascii="Arial" w:hAnsi="Arial" w:cs="Arial"/>
          <w:bCs/>
          <w:sz w:val="24"/>
        </w:rPr>
        <w:t>n</w:t>
      </w:r>
      <w:r w:rsidR="001024D7" w:rsidRPr="001024D7">
        <w:rPr>
          <w:rFonts w:ascii="Arial" w:hAnsi="Arial" w:cs="Arial"/>
          <w:bCs/>
          <w:sz w:val="24"/>
        </w:rPr>
        <w:t xml:space="preserve"> a diferentes procesos de funcionalización</w:t>
      </w:r>
      <w:r w:rsidR="005F6317">
        <w:rPr>
          <w:rFonts w:ascii="Arial" w:hAnsi="Arial" w:cs="Arial"/>
          <w:bCs/>
          <w:sz w:val="24"/>
        </w:rPr>
        <w:t xml:space="preserve"> </w:t>
      </w:r>
      <w:r w:rsidR="005F6317">
        <w:rPr>
          <w:rFonts w:ascii="Arial" w:hAnsi="Arial" w:cs="Arial"/>
          <w:bCs/>
          <w:sz w:val="24"/>
        </w:rPr>
        <w:fldChar w:fldCharType="begin" w:fldLock="1"/>
      </w:r>
      <w:r w:rsidR="002F4707">
        <w:rPr>
          <w:rFonts w:ascii="Arial" w:hAnsi="Arial" w:cs="Arial"/>
          <w:bCs/>
          <w:sz w:val="24"/>
        </w:rPr>
        <w:instrText>ADDIN CSL_CITATION {"citationItems":[{"id":"ITEM-1","itemData":{"DOI":"10.3390/app8101925","ISSN":"20763417","abstract":"Multi-walled carbon nanotubes (MWCNT) have provided unprecedented advances in the design of electrochemical sensors. They are composed by sp2 carbon units oriented as multiple concentric tubes of rolled-up graphene, and present remarkable active surface area, chemical inertness, high strength, and low charge-transfer resistance in both aqueous and non-aqueous solutions. MWCNT are very versatile and have been boosting the development of a new generation of electrochemical sensors with application in medicine, pharmacology, food industry, forensic chemistry, and environmental fields. This work highlights the most important synthesis methods and relevant electrochemical properties of MWCNT for the construction of electrochemical sensors, and the numerous configurations and successful applications of these devices. Thousands of studies have been attesting to the exceptional electroanalytical performance of these devices, but there are still questions in MWCNT electrochemistry that deserve more investigation, aiming to provide new outlooks and advances in this field. Additionally, MWCNT-based sensors should be further explored for real industrial applications including for on-line quality control.","author":[{"dropping-particle":"","family":"Oliveira","given":"Thiago M.B.F.","non-dropping-particle":"","parse-names":false,"suffix":""},{"dropping-particle":"","family":"Morais","given":"Simone","non-dropping-particle":"","parse-names":false,"suffix":""}],"container-title":"Applied Sciences (Switzerland)","id":"ITEM-1","issue":"10","issued":{"date-parts":[["2018"]]},"page":"5-7","title":"New generation of electrochemical sensors based on multi-walled carbon nanotubes","type":"article-journal","volume":"8"},"uris":["http://www.mendeley.com/documents/?uuid=ceb455b8-4b1b-4443-99de-74d38e1c62c8"]}],"mendeley":{"formattedCitation":"(Oliveira &amp; Morais, 2018)","manualFormatting":"(Oliveira y Morais, 2018)","plainTextFormattedCitation":"(Oliveira &amp; Morais, 2018)","previouslyFormattedCitation":"(Oliveira &amp; Morais, 2018)"},"properties":{"noteIndex":0},"schema":"https://github.com/citation-style-language/schema/raw/master/csl-citation.json"}</w:instrText>
      </w:r>
      <w:r w:rsidR="005F6317">
        <w:rPr>
          <w:rFonts w:ascii="Arial" w:hAnsi="Arial" w:cs="Arial"/>
          <w:bCs/>
          <w:sz w:val="24"/>
        </w:rPr>
        <w:fldChar w:fldCharType="separate"/>
      </w:r>
      <w:r w:rsidR="002F4707" w:rsidRPr="002F4707">
        <w:rPr>
          <w:rFonts w:ascii="Arial" w:hAnsi="Arial" w:cs="Arial"/>
          <w:bCs/>
          <w:noProof/>
          <w:sz w:val="24"/>
        </w:rPr>
        <w:t xml:space="preserve">(Oliveira </w:t>
      </w:r>
      <w:r w:rsidR="002F4707">
        <w:rPr>
          <w:rFonts w:ascii="Arial" w:hAnsi="Arial" w:cs="Arial"/>
          <w:bCs/>
          <w:noProof/>
          <w:sz w:val="24"/>
        </w:rPr>
        <w:t>y</w:t>
      </w:r>
      <w:r w:rsidR="002F4707" w:rsidRPr="002F4707">
        <w:rPr>
          <w:rFonts w:ascii="Arial" w:hAnsi="Arial" w:cs="Arial"/>
          <w:bCs/>
          <w:noProof/>
          <w:sz w:val="24"/>
        </w:rPr>
        <w:t xml:space="preserve"> Morais, 2018)</w:t>
      </w:r>
      <w:r w:rsidR="005F6317">
        <w:rPr>
          <w:rFonts w:ascii="Arial" w:hAnsi="Arial" w:cs="Arial"/>
          <w:bCs/>
          <w:sz w:val="24"/>
        </w:rPr>
        <w:fldChar w:fldCharType="end"/>
      </w:r>
      <w:r w:rsidR="005F6317">
        <w:rPr>
          <w:rFonts w:ascii="Arial" w:hAnsi="Arial" w:cs="Arial"/>
          <w:bCs/>
          <w:sz w:val="24"/>
        </w:rPr>
        <w:t>.</w:t>
      </w:r>
    </w:p>
    <w:p w14:paraId="0EEA375A" w14:textId="397A8164" w:rsidR="00087123" w:rsidRDefault="00087123" w:rsidP="00087123">
      <w:pPr>
        <w:spacing w:line="360" w:lineRule="auto"/>
        <w:ind w:firstLine="708"/>
        <w:jc w:val="both"/>
        <w:rPr>
          <w:rFonts w:ascii="Arial" w:hAnsi="Arial" w:cs="Arial"/>
          <w:bCs/>
          <w:sz w:val="24"/>
        </w:rPr>
      </w:pPr>
    </w:p>
    <w:p w14:paraId="7F905027" w14:textId="5BF945C0" w:rsidR="00087123" w:rsidRDefault="00087123" w:rsidP="00087123">
      <w:pPr>
        <w:spacing w:line="360" w:lineRule="auto"/>
        <w:ind w:firstLine="708"/>
        <w:jc w:val="both"/>
        <w:rPr>
          <w:rFonts w:ascii="Arial" w:hAnsi="Arial" w:cs="Arial"/>
          <w:bCs/>
          <w:sz w:val="24"/>
        </w:rPr>
      </w:pPr>
    </w:p>
    <w:p w14:paraId="21A447C7" w14:textId="17823EFD" w:rsidR="00087123" w:rsidRDefault="00087123" w:rsidP="00087123">
      <w:pPr>
        <w:spacing w:line="360" w:lineRule="auto"/>
        <w:ind w:firstLine="708"/>
        <w:jc w:val="both"/>
        <w:rPr>
          <w:rFonts w:ascii="Arial" w:hAnsi="Arial" w:cs="Arial"/>
          <w:bCs/>
          <w:sz w:val="24"/>
        </w:rPr>
      </w:pPr>
    </w:p>
    <w:p w14:paraId="758D7E0E" w14:textId="64A99998" w:rsidR="00087123" w:rsidRDefault="00087123" w:rsidP="00087123">
      <w:pPr>
        <w:spacing w:line="360" w:lineRule="auto"/>
        <w:ind w:firstLine="708"/>
        <w:jc w:val="both"/>
        <w:rPr>
          <w:rFonts w:ascii="Arial" w:hAnsi="Arial" w:cs="Arial"/>
          <w:bCs/>
          <w:sz w:val="24"/>
        </w:rPr>
      </w:pPr>
    </w:p>
    <w:p w14:paraId="6DBBF5D7" w14:textId="4C265D3E" w:rsidR="00087123" w:rsidRDefault="00087123" w:rsidP="00087123">
      <w:pPr>
        <w:spacing w:line="360" w:lineRule="auto"/>
        <w:ind w:firstLine="708"/>
        <w:jc w:val="both"/>
        <w:rPr>
          <w:rFonts w:ascii="Arial" w:hAnsi="Arial" w:cs="Arial"/>
          <w:bCs/>
          <w:sz w:val="24"/>
        </w:rPr>
      </w:pPr>
    </w:p>
    <w:p w14:paraId="68F3F5E3" w14:textId="362517A2" w:rsidR="00087123" w:rsidRDefault="00087123" w:rsidP="00087123">
      <w:pPr>
        <w:spacing w:line="360" w:lineRule="auto"/>
        <w:ind w:firstLine="708"/>
        <w:jc w:val="both"/>
        <w:rPr>
          <w:rFonts w:ascii="Arial" w:hAnsi="Arial" w:cs="Arial"/>
          <w:bCs/>
          <w:sz w:val="24"/>
        </w:rPr>
      </w:pPr>
    </w:p>
    <w:p w14:paraId="445361E3" w14:textId="4DDF2472" w:rsidR="00087123" w:rsidRDefault="00087123" w:rsidP="00087123">
      <w:pPr>
        <w:spacing w:line="360" w:lineRule="auto"/>
        <w:ind w:firstLine="708"/>
        <w:jc w:val="both"/>
        <w:rPr>
          <w:rFonts w:ascii="Arial" w:hAnsi="Arial" w:cs="Arial"/>
          <w:bCs/>
          <w:sz w:val="24"/>
        </w:rPr>
      </w:pPr>
    </w:p>
    <w:p w14:paraId="7A2A95F5" w14:textId="77777777" w:rsidR="00321E1E" w:rsidRDefault="00321E1E" w:rsidP="00737DD3">
      <w:pPr>
        <w:spacing w:line="360" w:lineRule="auto"/>
        <w:jc w:val="both"/>
        <w:rPr>
          <w:rFonts w:ascii="Arial" w:hAnsi="Arial" w:cs="Arial"/>
          <w:bCs/>
          <w:sz w:val="24"/>
        </w:rPr>
      </w:pPr>
    </w:p>
    <w:p w14:paraId="29266C76" w14:textId="69B8CB0A" w:rsidR="00C82611" w:rsidRPr="00321E1E" w:rsidRDefault="00321E1E" w:rsidP="00321E1E">
      <w:pPr>
        <w:spacing w:line="360" w:lineRule="auto"/>
        <w:jc w:val="both"/>
        <w:rPr>
          <w:rFonts w:ascii="Arial" w:hAnsi="Arial" w:cs="Arial"/>
          <w:bCs/>
          <w:sz w:val="20"/>
          <w:szCs w:val="18"/>
        </w:rPr>
      </w:pPr>
      <w:r w:rsidRPr="00321E1E">
        <w:rPr>
          <w:rFonts w:ascii="Arial" w:hAnsi="Arial" w:cs="Arial"/>
          <w:b/>
          <w:sz w:val="20"/>
          <w:szCs w:val="18"/>
        </w:rPr>
        <w:t>Figura 1</w:t>
      </w:r>
      <w:r w:rsidRPr="00321E1E">
        <w:rPr>
          <w:rFonts w:ascii="Arial" w:hAnsi="Arial" w:cs="Arial"/>
          <w:bCs/>
          <w:sz w:val="20"/>
          <w:szCs w:val="18"/>
        </w:rPr>
        <w:t xml:space="preserve">. Esquema de la preparación del electrodo modificado con MWCNT-Chit. Interacción supramolecular entre quitosano y MWCNT, así como posibles interacciones con iones </w:t>
      </w:r>
      <w:proofErr w:type="gramStart"/>
      <w:r w:rsidRPr="00321E1E">
        <w:rPr>
          <w:rFonts w:ascii="Arial" w:hAnsi="Arial" w:cs="Arial"/>
          <w:bCs/>
          <w:sz w:val="20"/>
          <w:szCs w:val="18"/>
        </w:rPr>
        <w:t>Cd(</w:t>
      </w:r>
      <w:proofErr w:type="gramEnd"/>
      <w:r w:rsidRPr="00321E1E">
        <w:rPr>
          <w:rFonts w:ascii="Arial" w:hAnsi="Arial" w:cs="Arial"/>
          <w:bCs/>
          <w:sz w:val="20"/>
          <w:szCs w:val="18"/>
        </w:rPr>
        <w:t>II).</w:t>
      </w:r>
    </w:p>
    <w:p w14:paraId="5E79B439" w14:textId="631576D1" w:rsidR="001024D7" w:rsidRPr="001024D7" w:rsidRDefault="001024D7" w:rsidP="00321E1E">
      <w:pPr>
        <w:spacing w:line="360" w:lineRule="auto"/>
        <w:ind w:firstLine="708"/>
        <w:jc w:val="both"/>
        <w:rPr>
          <w:rFonts w:ascii="Arial" w:hAnsi="Arial" w:cs="Arial"/>
          <w:bCs/>
          <w:sz w:val="24"/>
        </w:rPr>
        <w:sectPr w:rsidR="001024D7" w:rsidRPr="001024D7" w:rsidSect="00E0784B">
          <w:type w:val="continuous"/>
          <w:pgSz w:w="12240" w:h="15840"/>
          <w:pgMar w:top="1417" w:right="1701" w:bottom="1417" w:left="1701" w:header="708" w:footer="708" w:gutter="0"/>
          <w:cols w:space="708"/>
          <w:docGrid w:linePitch="360"/>
        </w:sectPr>
      </w:pPr>
      <w:r w:rsidRPr="001024D7">
        <w:rPr>
          <w:rFonts w:ascii="Arial" w:hAnsi="Arial" w:cs="Arial"/>
          <w:bCs/>
          <w:sz w:val="24"/>
        </w:rPr>
        <w:t xml:space="preserve">La actividad de los nanotubos mejora aún más cuando se entrelazan con moléculas orgánicas y biomoléculas (polisacáridos y proteínas). El uso de CNT dopados con </w:t>
      </w:r>
      <w:r w:rsidR="00087123" w:rsidRPr="001024D7">
        <w:rPr>
          <w:rFonts w:ascii="Arial" w:hAnsi="Arial" w:cs="Arial"/>
          <w:bCs/>
          <w:sz w:val="24"/>
        </w:rPr>
        <w:t>quitosano</w:t>
      </w:r>
      <w:r w:rsidRPr="001024D7">
        <w:rPr>
          <w:rFonts w:ascii="Arial" w:hAnsi="Arial" w:cs="Arial"/>
          <w:bCs/>
          <w:sz w:val="24"/>
        </w:rPr>
        <w:t xml:space="preserve"> ha sido objeto de estudio en diversas investigaciones debido a los excelentes resultados</w:t>
      </w:r>
      <w:r w:rsidR="00DA7D28">
        <w:rPr>
          <w:rFonts w:ascii="Arial" w:hAnsi="Arial" w:cs="Arial"/>
          <w:bCs/>
          <w:sz w:val="24"/>
        </w:rPr>
        <w:t xml:space="preserve"> obtenidos,</w:t>
      </w:r>
      <w:r w:rsidRPr="001024D7">
        <w:rPr>
          <w:rFonts w:ascii="Arial" w:hAnsi="Arial" w:cs="Arial"/>
          <w:bCs/>
          <w:sz w:val="24"/>
        </w:rPr>
        <w:t xml:space="preserve"> principalmente en bioelectroquímica y remediación ambiental </w:t>
      </w:r>
      <w:r w:rsidR="00EE385A">
        <w:rPr>
          <w:rFonts w:ascii="Arial" w:hAnsi="Arial" w:cs="Arial"/>
          <w:bCs/>
          <w:sz w:val="24"/>
        </w:rPr>
        <w:fldChar w:fldCharType="begin" w:fldLock="1"/>
      </w:r>
      <w:r w:rsidR="00EE385A">
        <w:rPr>
          <w:rFonts w:ascii="Arial" w:hAnsi="Arial" w:cs="Arial"/>
          <w:bCs/>
          <w:sz w:val="24"/>
        </w:rPr>
        <w:instrText>ADDIN CSL_CITATION {"citationItems":[{"id":"ITEM-1","itemData":{"DOI":"10.1016/j.ijbiomac.2017.12.105","ISSN":"18790003","abstract":"The modification of carboxylated multi-wall carbon nanotubes (MWCNT-COOH) with chitosan (Chi) has been investigated to prepare a nanocomposite material (MWCNT-Chi) for the removal of picric acid from aqueous solutions. Materials were characterized by FT-IR, TGA, DTG, FESEM, EDX, BET and zeta potential. Batch experiments such as solution pH, dosage of adsorbents, contact time, concentration of the picric acid and temperature were achieved to study sorption process. Kinetic studies were well described by pseudo-second-order kinetic model for both adsorbents. The six isotherm models: Langmuir (four linear forms), Freundlich, Tempkin, Halsey, Harkins-Jura and Dubinin-Radushkevich models were applied to determine the characteristic parameters of the adsorption process. Isotherm studies showed that the Langmuir isotherm for MWCNT-Chi and Freundlich and Halsey models for both adsorbents were found to best represent the measured sorption data. In addition, the results of Dubinin-Radushkevich model confirmed the physical adsorption. Negative ΔG° values for MWCNT-Chi and positive ones for MWCNT-COOH indicated the nature of spontaneous and unspontaneous, respectively for adsorption process in the range of the studied concentrations. In addition, picric acid molecules can be desorbed from MWCNT-Chi up to 90% at pH = 9 and that the consumed MWCNT-Chi could be reutilized up to 5th cycle of regeneration.","author":[{"dropping-particle":"","family":"Khakpour","given":"Roghayeh","non-dropping-particle":"","parse-names":false,"suffix":""},{"dropping-particle":"","family":"Tahermansouri","given":"Hasan","non-dropping-particle":"","parse-names":false,"suffix":""}],"container-title":"International Journal of Biological Macromolecules","id":"ITEM-1","issued":{"date-parts":[["2018"]]},"page":"598-610","publisher":"Elsevier B.V.","title":"Synthesis, characterization and study of sorption parameters of multi-walled carbon nanotubes/chitosan nanocomposite for the removal of picric acid from aqueous solutions","type":"article-journal","volume":"109"},"uris":["http://www.mendeley.com/documents/?uuid=ea5f496a-476e-4d4d-9e92-c1bf0d51b42c"]}],"mendeley":{"formattedCitation":"(Khakpour &amp; Tahermansouri, 2018)","manualFormatting":"(Khakpour y Tahermansouri, 2018)","plainTextFormattedCitation":"(Khakpour &amp; Tahermansouri, 2018)","previouslyFormattedCitation":"(Khakpour &amp; Tahermansouri, 2018)"},"properties":{"noteIndex":0},"schema":"https://github.com/citation-style-language/schema/raw/master/csl-citation.json"}</w:instrText>
      </w:r>
      <w:r w:rsidR="00EE385A">
        <w:rPr>
          <w:rFonts w:ascii="Arial" w:hAnsi="Arial" w:cs="Arial"/>
          <w:bCs/>
          <w:sz w:val="24"/>
        </w:rPr>
        <w:fldChar w:fldCharType="separate"/>
      </w:r>
      <w:r w:rsidR="00EE385A" w:rsidRPr="00EE385A">
        <w:rPr>
          <w:rFonts w:ascii="Arial" w:hAnsi="Arial" w:cs="Arial"/>
          <w:bCs/>
          <w:noProof/>
          <w:sz w:val="24"/>
        </w:rPr>
        <w:t xml:space="preserve">(Khakpour </w:t>
      </w:r>
      <w:r w:rsidR="00EE385A">
        <w:rPr>
          <w:rFonts w:ascii="Arial" w:hAnsi="Arial" w:cs="Arial"/>
          <w:bCs/>
          <w:noProof/>
          <w:sz w:val="24"/>
        </w:rPr>
        <w:t>y</w:t>
      </w:r>
      <w:r w:rsidR="00EE385A" w:rsidRPr="00EE385A">
        <w:rPr>
          <w:rFonts w:ascii="Arial" w:hAnsi="Arial" w:cs="Arial"/>
          <w:bCs/>
          <w:noProof/>
          <w:sz w:val="24"/>
        </w:rPr>
        <w:t xml:space="preserve"> Tahermansouri, 2018)</w:t>
      </w:r>
      <w:r w:rsidR="00EE385A">
        <w:rPr>
          <w:rFonts w:ascii="Arial" w:hAnsi="Arial" w:cs="Arial"/>
          <w:bCs/>
          <w:sz w:val="24"/>
        </w:rPr>
        <w:fldChar w:fldCharType="end"/>
      </w:r>
      <w:r w:rsidRPr="001024D7">
        <w:rPr>
          <w:rFonts w:ascii="Arial" w:hAnsi="Arial" w:cs="Arial"/>
          <w:bCs/>
          <w:sz w:val="24"/>
        </w:rPr>
        <w:t>. En este trabajo, se introduce una nueva aplicación c</w:t>
      </w:r>
      <w:r w:rsidR="00DA7D28">
        <w:rPr>
          <w:rFonts w:ascii="Arial" w:hAnsi="Arial" w:cs="Arial"/>
          <w:bCs/>
          <w:sz w:val="24"/>
        </w:rPr>
        <w:t>on el empleo</w:t>
      </w:r>
      <w:r w:rsidRPr="001024D7">
        <w:rPr>
          <w:rFonts w:ascii="Arial" w:hAnsi="Arial" w:cs="Arial"/>
          <w:bCs/>
          <w:sz w:val="24"/>
        </w:rPr>
        <w:t xml:space="preserve"> </w:t>
      </w:r>
      <w:r w:rsidR="00DA7D28">
        <w:rPr>
          <w:rFonts w:ascii="Arial" w:hAnsi="Arial" w:cs="Arial"/>
          <w:bCs/>
          <w:sz w:val="24"/>
        </w:rPr>
        <w:t xml:space="preserve">de </w:t>
      </w:r>
      <w:r w:rsidRPr="001024D7">
        <w:rPr>
          <w:rFonts w:ascii="Arial" w:hAnsi="Arial" w:cs="Arial"/>
          <w:bCs/>
          <w:sz w:val="24"/>
        </w:rPr>
        <w:t>un electrodo de carbono vítreo</w:t>
      </w:r>
      <w:r w:rsidR="00DA7D28">
        <w:rPr>
          <w:rFonts w:ascii="Arial" w:hAnsi="Arial" w:cs="Arial"/>
          <w:bCs/>
          <w:sz w:val="24"/>
        </w:rPr>
        <w:t xml:space="preserve"> </w:t>
      </w:r>
      <w:r w:rsidRPr="001024D7">
        <w:rPr>
          <w:rFonts w:ascii="Arial" w:hAnsi="Arial" w:cs="Arial"/>
          <w:bCs/>
          <w:sz w:val="24"/>
        </w:rPr>
        <w:t>modificado con MWCNT-Chit</w:t>
      </w:r>
      <w:r w:rsidR="00DA7D28">
        <w:rPr>
          <w:rFonts w:ascii="Arial" w:hAnsi="Arial" w:cs="Arial"/>
          <w:bCs/>
          <w:sz w:val="24"/>
        </w:rPr>
        <w:t>,</w:t>
      </w:r>
      <w:r w:rsidRPr="001024D7">
        <w:rPr>
          <w:rFonts w:ascii="Arial" w:hAnsi="Arial" w:cs="Arial"/>
          <w:bCs/>
          <w:sz w:val="24"/>
        </w:rPr>
        <w:t xml:space="preserve"> para la cuantificación de trazas de cadmio en </w:t>
      </w:r>
      <w:r w:rsidR="00DA7D28">
        <w:rPr>
          <w:rFonts w:ascii="Arial" w:hAnsi="Arial" w:cs="Arial"/>
          <w:bCs/>
          <w:sz w:val="24"/>
        </w:rPr>
        <w:t>di</w:t>
      </w:r>
      <w:r w:rsidRPr="001024D7">
        <w:rPr>
          <w:rFonts w:ascii="Arial" w:hAnsi="Arial" w:cs="Arial"/>
          <w:bCs/>
          <w:sz w:val="24"/>
        </w:rPr>
        <w:t xml:space="preserve">soluciones acuosas. Las posibles interacciones entre </w:t>
      </w:r>
      <w:r w:rsidR="00DA7D28">
        <w:rPr>
          <w:rFonts w:ascii="Arial" w:hAnsi="Arial" w:cs="Arial"/>
          <w:bCs/>
          <w:sz w:val="24"/>
        </w:rPr>
        <w:t>los iones</w:t>
      </w:r>
      <w:r w:rsidRPr="001024D7">
        <w:rPr>
          <w:rFonts w:ascii="Arial" w:hAnsi="Arial" w:cs="Arial"/>
          <w:bCs/>
          <w:sz w:val="24"/>
        </w:rPr>
        <w:t xml:space="preserve"> </w:t>
      </w:r>
      <w:proofErr w:type="gramStart"/>
      <w:r w:rsidRPr="001024D7">
        <w:rPr>
          <w:rFonts w:ascii="Arial" w:hAnsi="Arial" w:cs="Arial"/>
          <w:bCs/>
          <w:sz w:val="24"/>
        </w:rPr>
        <w:t>Cd(</w:t>
      </w:r>
      <w:proofErr w:type="gramEnd"/>
      <w:r w:rsidRPr="001024D7">
        <w:rPr>
          <w:rFonts w:ascii="Arial" w:hAnsi="Arial" w:cs="Arial"/>
          <w:bCs/>
          <w:sz w:val="24"/>
        </w:rPr>
        <w:t>II) y quitosano se muestran en la Fig</w:t>
      </w:r>
      <w:r w:rsidR="00321E1E">
        <w:rPr>
          <w:rFonts w:ascii="Arial" w:hAnsi="Arial" w:cs="Arial"/>
          <w:bCs/>
          <w:sz w:val="24"/>
        </w:rPr>
        <w:t xml:space="preserve">ura </w:t>
      </w:r>
      <w:r w:rsidRPr="001024D7">
        <w:rPr>
          <w:rFonts w:ascii="Arial" w:hAnsi="Arial" w:cs="Arial"/>
          <w:bCs/>
          <w:sz w:val="24"/>
        </w:rPr>
        <w:t xml:space="preserve">1. El electrodo </w:t>
      </w:r>
      <w:r w:rsidR="00321E1E">
        <w:rPr>
          <w:rFonts w:ascii="Arial" w:hAnsi="Arial" w:cs="Arial"/>
          <w:bCs/>
          <w:sz w:val="24"/>
        </w:rPr>
        <w:t>modificado</w:t>
      </w:r>
      <w:r w:rsidRPr="001024D7">
        <w:rPr>
          <w:rFonts w:ascii="Arial" w:hAnsi="Arial" w:cs="Arial"/>
          <w:bCs/>
          <w:sz w:val="24"/>
        </w:rPr>
        <w:t xml:space="preserve"> </w:t>
      </w:r>
      <w:r w:rsidR="00087123">
        <w:rPr>
          <w:rFonts w:ascii="Arial" w:hAnsi="Arial" w:cs="Arial"/>
          <w:bCs/>
          <w:sz w:val="24"/>
        </w:rPr>
        <w:t>(</w:t>
      </w:r>
      <w:r w:rsidRPr="001024D7">
        <w:rPr>
          <w:rFonts w:ascii="Arial" w:hAnsi="Arial" w:cs="Arial"/>
          <w:bCs/>
          <w:sz w:val="24"/>
        </w:rPr>
        <w:t>MWCNT-Chit</w:t>
      </w:r>
      <w:r w:rsidR="00087123">
        <w:rPr>
          <w:rFonts w:ascii="Arial" w:hAnsi="Arial" w:cs="Arial"/>
          <w:bCs/>
          <w:sz w:val="24"/>
        </w:rPr>
        <w:t>/CGE)</w:t>
      </w:r>
      <w:r w:rsidRPr="001024D7">
        <w:rPr>
          <w:rFonts w:ascii="Arial" w:hAnsi="Arial" w:cs="Arial"/>
          <w:bCs/>
          <w:sz w:val="24"/>
        </w:rPr>
        <w:t xml:space="preserve"> se caracterizó por diferentes técnicas electroquímicas y</w:t>
      </w:r>
      <w:r w:rsidR="0048302E">
        <w:rPr>
          <w:rFonts w:ascii="Arial" w:hAnsi="Arial" w:cs="Arial"/>
          <w:bCs/>
          <w:sz w:val="24"/>
        </w:rPr>
        <w:t>,</w:t>
      </w:r>
      <w:r w:rsidRPr="001024D7">
        <w:rPr>
          <w:rFonts w:ascii="Arial" w:hAnsi="Arial" w:cs="Arial"/>
          <w:bCs/>
          <w:sz w:val="24"/>
        </w:rPr>
        <w:t xml:space="preserve"> con microscopía electrónica de barrido se analizó la morfología.</w:t>
      </w:r>
    </w:p>
    <w:p w14:paraId="497F9FBC" w14:textId="386E6821" w:rsidR="00BD69D3" w:rsidRPr="00312506" w:rsidRDefault="00312506" w:rsidP="005C276E">
      <w:pPr>
        <w:rPr>
          <w:rFonts w:ascii="Arial" w:hAnsi="Arial" w:cs="Arial"/>
          <w:b/>
          <w:bCs/>
          <w:sz w:val="24"/>
        </w:rPr>
      </w:pPr>
      <w:r>
        <w:rPr>
          <w:rFonts w:ascii="Arial" w:hAnsi="Arial" w:cs="Arial"/>
          <w:b/>
          <w:bCs/>
          <w:sz w:val="24"/>
        </w:rPr>
        <w:t>Metodología</w:t>
      </w:r>
    </w:p>
    <w:p w14:paraId="61294344" w14:textId="03F0C51E" w:rsidR="008A62F7" w:rsidRDefault="00551CEC" w:rsidP="002D5D32">
      <w:pPr>
        <w:spacing w:after="0" w:line="240" w:lineRule="auto"/>
        <w:textAlignment w:val="baseline"/>
        <w:rPr>
          <w:rFonts w:ascii="Arial" w:eastAsia="Times New Roman" w:hAnsi="Arial" w:cs="Arial"/>
          <w:i/>
          <w:sz w:val="24"/>
          <w:szCs w:val="24"/>
          <w:u w:val="single"/>
          <w:lang w:eastAsia="es-MX"/>
        </w:rPr>
      </w:pPr>
      <w:r>
        <w:rPr>
          <w:rFonts w:ascii="Arial" w:eastAsia="Times New Roman" w:hAnsi="Arial" w:cs="Arial"/>
          <w:i/>
          <w:sz w:val="24"/>
          <w:szCs w:val="24"/>
          <w:u w:val="single"/>
          <w:lang w:eastAsia="es-MX"/>
        </w:rPr>
        <w:t>Reactivos</w:t>
      </w:r>
    </w:p>
    <w:p w14:paraId="37E99DE6" w14:textId="6D3416A6" w:rsidR="00737DD3" w:rsidRDefault="000A2F91" w:rsidP="00737DD3">
      <w:pPr>
        <w:spacing w:before="240" w:after="0" w:line="360" w:lineRule="auto"/>
        <w:jc w:val="both"/>
        <w:textAlignment w:val="baseline"/>
        <w:rPr>
          <w:rFonts w:ascii="Arial" w:eastAsia="Times New Roman" w:hAnsi="Arial" w:cs="Arial"/>
          <w:iCs/>
          <w:sz w:val="24"/>
          <w:szCs w:val="24"/>
          <w:lang w:eastAsia="es-MX"/>
        </w:rPr>
      </w:pPr>
      <w:r w:rsidRPr="000A2F91">
        <w:rPr>
          <w:rFonts w:ascii="Arial" w:eastAsia="Times New Roman" w:hAnsi="Arial" w:cs="Arial"/>
          <w:iCs/>
          <w:sz w:val="24"/>
          <w:szCs w:val="24"/>
          <w:lang w:eastAsia="es-MX"/>
        </w:rPr>
        <w:t xml:space="preserve">Se utilizó una </w:t>
      </w:r>
      <w:r>
        <w:rPr>
          <w:rFonts w:ascii="Arial" w:eastAsia="Times New Roman" w:hAnsi="Arial" w:cs="Arial"/>
          <w:iCs/>
          <w:sz w:val="24"/>
          <w:szCs w:val="24"/>
          <w:lang w:eastAsia="es-MX"/>
        </w:rPr>
        <w:t>di</w:t>
      </w:r>
      <w:r w:rsidRPr="000A2F91">
        <w:rPr>
          <w:rFonts w:ascii="Arial" w:eastAsia="Times New Roman" w:hAnsi="Arial" w:cs="Arial"/>
          <w:iCs/>
          <w:sz w:val="24"/>
          <w:szCs w:val="24"/>
          <w:lang w:eastAsia="es-MX"/>
        </w:rPr>
        <w:t xml:space="preserve">solución estándar de </w:t>
      </w:r>
      <w:proofErr w:type="gramStart"/>
      <w:r w:rsidRPr="000A2F91">
        <w:rPr>
          <w:rFonts w:ascii="Arial" w:eastAsia="Times New Roman" w:hAnsi="Arial" w:cs="Arial"/>
          <w:iCs/>
          <w:sz w:val="24"/>
          <w:szCs w:val="24"/>
          <w:lang w:eastAsia="es-MX"/>
        </w:rPr>
        <w:t>Cd(</w:t>
      </w:r>
      <w:proofErr w:type="gramEnd"/>
      <w:r w:rsidRPr="000A2F91">
        <w:rPr>
          <w:rFonts w:ascii="Arial" w:eastAsia="Times New Roman" w:hAnsi="Arial" w:cs="Arial"/>
          <w:iCs/>
          <w:sz w:val="24"/>
          <w:szCs w:val="24"/>
          <w:lang w:eastAsia="es-MX"/>
        </w:rPr>
        <w:t>II)</w:t>
      </w:r>
      <w:r>
        <w:rPr>
          <w:rFonts w:ascii="Arial" w:eastAsia="Times New Roman" w:hAnsi="Arial" w:cs="Arial"/>
          <w:iCs/>
          <w:sz w:val="24"/>
          <w:szCs w:val="24"/>
          <w:lang w:eastAsia="es-MX"/>
        </w:rPr>
        <w:t xml:space="preserve"> </w:t>
      </w:r>
      <w:r w:rsidRPr="000A2F91">
        <w:rPr>
          <w:rFonts w:ascii="Arial" w:eastAsia="Times New Roman" w:hAnsi="Arial" w:cs="Arial"/>
          <w:iCs/>
          <w:sz w:val="24"/>
          <w:szCs w:val="24"/>
          <w:lang w:eastAsia="es-MX"/>
        </w:rPr>
        <w:t>100 mg L</w:t>
      </w:r>
      <w:r w:rsidRPr="000A2F91">
        <w:rPr>
          <w:rFonts w:ascii="Arial" w:eastAsia="Times New Roman" w:hAnsi="Arial" w:cs="Arial"/>
          <w:iCs/>
          <w:sz w:val="24"/>
          <w:szCs w:val="24"/>
          <w:vertAlign w:val="superscript"/>
          <w:lang w:eastAsia="es-MX"/>
        </w:rPr>
        <w:t>-1</w:t>
      </w:r>
      <w:r w:rsidRPr="000A2F91">
        <w:rPr>
          <w:rFonts w:ascii="Arial" w:eastAsia="Times New Roman" w:hAnsi="Arial" w:cs="Arial"/>
          <w:iCs/>
          <w:sz w:val="24"/>
          <w:szCs w:val="24"/>
          <w:lang w:eastAsia="es-MX"/>
        </w:rPr>
        <w:t xml:space="preserve"> de Merck (Alemania), el electrolito de soporte fue un tampón de acetato</w:t>
      </w:r>
      <w:r>
        <w:rPr>
          <w:rFonts w:ascii="Arial" w:eastAsia="Times New Roman" w:hAnsi="Arial" w:cs="Arial"/>
          <w:iCs/>
          <w:sz w:val="24"/>
          <w:szCs w:val="24"/>
          <w:lang w:eastAsia="es-MX"/>
        </w:rPr>
        <w:t>s</w:t>
      </w:r>
      <w:r w:rsidRPr="000A2F91">
        <w:rPr>
          <w:rFonts w:ascii="Arial" w:eastAsia="Times New Roman" w:hAnsi="Arial" w:cs="Arial"/>
          <w:iCs/>
          <w:sz w:val="24"/>
          <w:szCs w:val="24"/>
          <w:lang w:eastAsia="es-MX"/>
        </w:rPr>
        <w:t xml:space="preserve"> 0.1 M preparado con CH</w:t>
      </w:r>
      <w:r w:rsidRPr="000A2F91">
        <w:rPr>
          <w:rFonts w:ascii="Arial" w:eastAsia="Times New Roman" w:hAnsi="Arial" w:cs="Arial"/>
          <w:iCs/>
          <w:sz w:val="24"/>
          <w:szCs w:val="24"/>
          <w:vertAlign w:val="subscript"/>
          <w:lang w:eastAsia="es-MX"/>
        </w:rPr>
        <w:t>3</w:t>
      </w:r>
      <w:r w:rsidRPr="000A2F91">
        <w:rPr>
          <w:rFonts w:ascii="Arial" w:eastAsia="Times New Roman" w:hAnsi="Arial" w:cs="Arial"/>
          <w:iCs/>
          <w:sz w:val="24"/>
          <w:szCs w:val="24"/>
          <w:lang w:eastAsia="es-MX"/>
        </w:rPr>
        <w:t>COOH (99%) y CH</w:t>
      </w:r>
      <w:r w:rsidRPr="000A2F91">
        <w:rPr>
          <w:rFonts w:ascii="Arial" w:eastAsia="Times New Roman" w:hAnsi="Arial" w:cs="Arial"/>
          <w:iCs/>
          <w:sz w:val="24"/>
          <w:szCs w:val="24"/>
          <w:vertAlign w:val="subscript"/>
          <w:lang w:eastAsia="es-MX"/>
        </w:rPr>
        <w:t>3</w:t>
      </w:r>
      <w:r w:rsidRPr="000A2F91">
        <w:rPr>
          <w:rFonts w:ascii="Arial" w:eastAsia="Times New Roman" w:hAnsi="Arial" w:cs="Arial"/>
          <w:iCs/>
          <w:sz w:val="24"/>
          <w:szCs w:val="24"/>
          <w:lang w:eastAsia="es-MX"/>
        </w:rPr>
        <w:t>COONa (99%) de Sigma-Aldrich. Las diluciones se prepararon con agua desionizada ultrapura (18 MΩ cm). Para los experimentos de optimización del método y caracterización electroquímica se utilizó NaCl (99%), HNO</w:t>
      </w:r>
      <w:r w:rsidRPr="000A2F91">
        <w:rPr>
          <w:rFonts w:ascii="Arial" w:eastAsia="Times New Roman" w:hAnsi="Arial" w:cs="Arial"/>
          <w:iCs/>
          <w:sz w:val="24"/>
          <w:szCs w:val="24"/>
          <w:vertAlign w:val="subscript"/>
          <w:lang w:eastAsia="es-MX"/>
        </w:rPr>
        <w:t>3</w:t>
      </w:r>
      <w:r w:rsidRPr="000A2F91">
        <w:rPr>
          <w:rFonts w:ascii="Arial" w:eastAsia="Times New Roman" w:hAnsi="Arial" w:cs="Arial"/>
          <w:iCs/>
          <w:sz w:val="24"/>
          <w:szCs w:val="24"/>
          <w:lang w:eastAsia="es-MX"/>
        </w:rPr>
        <w:t xml:space="preserve"> (70%)</w:t>
      </w:r>
      <w:r w:rsidR="00312506">
        <w:rPr>
          <w:rFonts w:ascii="Arial" w:eastAsia="Times New Roman" w:hAnsi="Arial" w:cs="Arial"/>
          <w:iCs/>
          <w:sz w:val="24"/>
          <w:szCs w:val="24"/>
          <w:lang w:eastAsia="es-MX"/>
        </w:rPr>
        <w:t xml:space="preserve">, </w:t>
      </w:r>
      <w:r w:rsidRPr="000A2F91">
        <w:rPr>
          <w:rFonts w:ascii="Arial" w:eastAsia="Times New Roman" w:hAnsi="Arial" w:cs="Arial"/>
          <w:iCs/>
          <w:sz w:val="24"/>
          <w:szCs w:val="24"/>
          <w:lang w:eastAsia="es-MX"/>
        </w:rPr>
        <w:t>HCl (37%), K</w:t>
      </w:r>
      <w:r w:rsidRPr="000A2F91">
        <w:rPr>
          <w:rFonts w:ascii="Arial" w:eastAsia="Times New Roman" w:hAnsi="Arial" w:cs="Arial"/>
          <w:iCs/>
          <w:sz w:val="24"/>
          <w:szCs w:val="24"/>
          <w:vertAlign w:val="subscript"/>
          <w:lang w:eastAsia="es-MX"/>
        </w:rPr>
        <w:t>3</w:t>
      </w:r>
      <w:r w:rsidRPr="000A2F91">
        <w:rPr>
          <w:rFonts w:ascii="Arial" w:eastAsia="Times New Roman" w:hAnsi="Arial" w:cs="Arial"/>
          <w:iCs/>
          <w:sz w:val="24"/>
          <w:szCs w:val="24"/>
          <w:lang w:eastAsia="es-MX"/>
        </w:rPr>
        <w:t>[</w:t>
      </w:r>
      <w:proofErr w:type="gramStart"/>
      <w:r w:rsidRPr="000A2F91">
        <w:rPr>
          <w:rFonts w:ascii="Arial" w:eastAsia="Times New Roman" w:hAnsi="Arial" w:cs="Arial"/>
          <w:iCs/>
          <w:sz w:val="24"/>
          <w:szCs w:val="24"/>
          <w:lang w:eastAsia="es-MX"/>
        </w:rPr>
        <w:t>Fe(</w:t>
      </w:r>
      <w:proofErr w:type="gramEnd"/>
      <w:r w:rsidRPr="000A2F91">
        <w:rPr>
          <w:rFonts w:ascii="Arial" w:eastAsia="Times New Roman" w:hAnsi="Arial" w:cs="Arial"/>
          <w:iCs/>
          <w:sz w:val="24"/>
          <w:szCs w:val="24"/>
          <w:lang w:eastAsia="es-MX"/>
        </w:rPr>
        <w:t>CN)</w:t>
      </w:r>
      <w:r w:rsidRPr="000A2F91">
        <w:rPr>
          <w:rFonts w:ascii="Arial" w:eastAsia="Times New Roman" w:hAnsi="Arial" w:cs="Arial"/>
          <w:iCs/>
          <w:sz w:val="24"/>
          <w:szCs w:val="24"/>
          <w:vertAlign w:val="subscript"/>
          <w:lang w:eastAsia="es-MX"/>
        </w:rPr>
        <w:t>6</w:t>
      </w:r>
      <w:r w:rsidRPr="000A2F91">
        <w:rPr>
          <w:rFonts w:ascii="Arial" w:eastAsia="Times New Roman" w:hAnsi="Arial" w:cs="Arial"/>
          <w:iCs/>
          <w:sz w:val="24"/>
          <w:szCs w:val="24"/>
          <w:lang w:eastAsia="es-MX"/>
        </w:rPr>
        <w:t>] (99%) y KCl (99%), reactivos de Sigma-Aldrich. En el estudio de interferencia se utilizó CoCl</w:t>
      </w:r>
      <w:r w:rsidRPr="000A2F91">
        <w:rPr>
          <w:rFonts w:ascii="Arial" w:eastAsia="Times New Roman" w:hAnsi="Arial" w:cs="Arial"/>
          <w:iCs/>
          <w:sz w:val="24"/>
          <w:szCs w:val="24"/>
          <w:vertAlign w:val="subscript"/>
          <w:lang w:eastAsia="es-MX"/>
        </w:rPr>
        <w:t>2</w:t>
      </w:r>
      <w:r w:rsidRPr="000A2F91">
        <w:rPr>
          <w:rFonts w:ascii="Arial" w:eastAsia="Times New Roman" w:hAnsi="Arial" w:cs="Arial"/>
          <w:iCs/>
          <w:sz w:val="24"/>
          <w:szCs w:val="24"/>
          <w:lang w:eastAsia="es-MX"/>
        </w:rPr>
        <w:t xml:space="preserve"> (99%), </w:t>
      </w:r>
      <w:proofErr w:type="gramStart"/>
      <w:r w:rsidRPr="000A2F91">
        <w:rPr>
          <w:rFonts w:ascii="Arial" w:eastAsia="Times New Roman" w:hAnsi="Arial" w:cs="Arial"/>
          <w:iCs/>
          <w:sz w:val="24"/>
          <w:szCs w:val="24"/>
          <w:lang w:eastAsia="es-MX"/>
        </w:rPr>
        <w:t>Pb(</w:t>
      </w:r>
      <w:proofErr w:type="gramEnd"/>
      <w:r w:rsidRPr="000A2F91">
        <w:rPr>
          <w:rFonts w:ascii="Arial" w:eastAsia="Times New Roman" w:hAnsi="Arial" w:cs="Arial"/>
          <w:iCs/>
          <w:sz w:val="24"/>
          <w:szCs w:val="24"/>
          <w:lang w:eastAsia="es-MX"/>
        </w:rPr>
        <w:t>NO</w:t>
      </w:r>
      <w:r w:rsidRPr="0048302E">
        <w:rPr>
          <w:rFonts w:ascii="Arial" w:eastAsia="Times New Roman" w:hAnsi="Arial" w:cs="Arial"/>
          <w:iCs/>
          <w:sz w:val="24"/>
          <w:szCs w:val="24"/>
          <w:vertAlign w:val="subscript"/>
          <w:lang w:eastAsia="es-MX"/>
        </w:rPr>
        <w:t>3</w:t>
      </w:r>
      <w:r w:rsidRPr="000A2F91">
        <w:rPr>
          <w:rFonts w:ascii="Arial" w:eastAsia="Times New Roman" w:hAnsi="Arial" w:cs="Arial"/>
          <w:iCs/>
          <w:sz w:val="24"/>
          <w:szCs w:val="24"/>
          <w:lang w:eastAsia="es-MX"/>
        </w:rPr>
        <w:t>)</w:t>
      </w:r>
      <w:r w:rsidRPr="000A2F91">
        <w:rPr>
          <w:rFonts w:ascii="Arial" w:eastAsia="Times New Roman" w:hAnsi="Arial" w:cs="Arial"/>
          <w:iCs/>
          <w:sz w:val="24"/>
          <w:szCs w:val="24"/>
          <w:vertAlign w:val="subscript"/>
          <w:lang w:eastAsia="es-MX"/>
        </w:rPr>
        <w:t>2</w:t>
      </w:r>
      <w:r w:rsidRPr="000A2F91">
        <w:rPr>
          <w:rFonts w:ascii="Arial" w:eastAsia="Times New Roman" w:hAnsi="Arial" w:cs="Arial"/>
          <w:iCs/>
          <w:sz w:val="24"/>
          <w:szCs w:val="24"/>
          <w:lang w:eastAsia="es-MX"/>
        </w:rPr>
        <w:t xml:space="preserve"> (98%) y HgCl</w:t>
      </w:r>
      <w:r w:rsidRPr="000A2F91">
        <w:rPr>
          <w:rFonts w:ascii="Arial" w:eastAsia="Times New Roman" w:hAnsi="Arial" w:cs="Arial"/>
          <w:iCs/>
          <w:sz w:val="24"/>
          <w:szCs w:val="24"/>
          <w:vertAlign w:val="subscript"/>
          <w:lang w:eastAsia="es-MX"/>
        </w:rPr>
        <w:t>2</w:t>
      </w:r>
      <w:r w:rsidRPr="000A2F91">
        <w:rPr>
          <w:rFonts w:ascii="Arial" w:eastAsia="Times New Roman" w:hAnsi="Arial" w:cs="Arial"/>
          <w:iCs/>
          <w:sz w:val="24"/>
          <w:szCs w:val="24"/>
          <w:lang w:eastAsia="es-MX"/>
        </w:rPr>
        <w:t xml:space="preserve"> (98%) de J. T. Baker.</w:t>
      </w:r>
    </w:p>
    <w:p w14:paraId="1BA2A1CA" w14:textId="01E7E284" w:rsidR="00DF433C" w:rsidRPr="00737DD3" w:rsidRDefault="000A2F91" w:rsidP="00737DD3">
      <w:pPr>
        <w:spacing w:before="240" w:after="0" w:line="360" w:lineRule="auto"/>
        <w:jc w:val="both"/>
        <w:textAlignment w:val="baseline"/>
        <w:rPr>
          <w:rFonts w:ascii="Arial" w:eastAsia="Times New Roman" w:hAnsi="Arial" w:cs="Arial"/>
          <w:iCs/>
          <w:sz w:val="24"/>
          <w:szCs w:val="24"/>
          <w:lang w:eastAsia="es-MX"/>
        </w:rPr>
      </w:pPr>
      <w:r w:rsidRPr="000A2F91">
        <w:rPr>
          <w:rFonts w:ascii="Arial" w:hAnsi="Arial" w:cs="Arial"/>
          <w:i/>
          <w:iCs/>
          <w:sz w:val="24"/>
          <w:u w:val="single"/>
        </w:rPr>
        <w:t>Funcionalización y purificación de nanotubos de carbono multicapa (MWCNT)</w:t>
      </w:r>
    </w:p>
    <w:p w14:paraId="51546834" w14:textId="7A47F45E" w:rsidR="000A2F91" w:rsidRPr="000A2F91" w:rsidRDefault="000A2F91" w:rsidP="00737DD3">
      <w:pPr>
        <w:spacing w:before="240" w:line="360" w:lineRule="auto"/>
        <w:jc w:val="both"/>
        <w:rPr>
          <w:rFonts w:ascii="Arial" w:hAnsi="Arial" w:cs="Arial"/>
          <w:sz w:val="24"/>
        </w:rPr>
      </w:pPr>
      <w:r w:rsidRPr="000A2F91">
        <w:rPr>
          <w:rFonts w:ascii="Arial" w:hAnsi="Arial" w:cs="Arial"/>
          <w:sz w:val="24"/>
        </w:rPr>
        <w:t>Se pesaron 0</w:t>
      </w:r>
      <w:r w:rsidR="00DA7D28">
        <w:rPr>
          <w:rFonts w:ascii="Arial" w:hAnsi="Arial" w:cs="Arial"/>
          <w:sz w:val="24"/>
        </w:rPr>
        <w:t>.</w:t>
      </w:r>
      <w:r w:rsidRPr="000A2F91">
        <w:rPr>
          <w:rFonts w:ascii="Arial" w:hAnsi="Arial" w:cs="Arial"/>
          <w:sz w:val="24"/>
        </w:rPr>
        <w:t xml:space="preserve">5 g de MWCNT (≥98% de base de carbono; O.D. x I.D. x L = 10 nm ± 1 nm x 4.5 nm ± 0.5 x 3- ~ 6 </w:t>
      </w:r>
      <w:proofErr w:type="spellStart"/>
      <w:r w:rsidRPr="000A2F91">
        <w:rPr>
          <w:rFonts w:ascii="Arial" w:hAnsi="Arial" w:cs="Arial"/>
          <w:sz w:val="24"/>
        </w:rPr>
        <w:t>μm</w:t>
      </w:r>
      <w:proofErr w:type="spellEnd"/>
      <w:r w:rsidRPr="000A2F91">
        <w:rPr>
          <w:rFonts w:ascii="Arial" w:hAnsi="Arial" w:cs="Arial"/>
          <w:sz w:val="24"/>
        </w:rPr>
        <w:t>, por TEM). Se calentaron a 270 °C durante 60 min para eliminar las impurezas. Posteriormente, se realizó una digestión en HNO</w:t>
      </w:r>
      <w:r w:rsidRPr="000A2F91">
        <w:rPr>
          <w:rFonts w:ascii="Arial" w:hAnsi="Arial" w:cs="Arial"/>
          <w:sz w:val="24"/>
          <w:vertAlign w:val="subscript"/>
        </w:rPr>
        <w:t>3</w:t>
      </w:r>
      <w:r w:rsidRPr="000A2F91">
        <w:rPr>
          <w:rFonts w:ascii="Arial" w:hAnsi="Arial" w:cs="Arial"/>
          <w:sz w:val="24"/>
        </w:rPr>
        <w:t xml:space="preserve"> 3M por reflujo durante 7 horas a 120 °C. Luego se filtraron (filtro Whatman No. 2) y se lavaron con agua desionizada, se secaron en un horno durante 1 hora a 35 °C y se almacenaron en un desecador hasta su uso </w:t>
      </w:r>
      <w:r w:rsidR="005F6317">
        <w:rPr>
          <w:rFonts w:ascii="Arial" w:hAnsi="Arial" w:cs="Arial"/>
          <w:sz w:val="24"/>
        </w:rPr>
        <w:fldChar w:fldCharType="begin" w:fldLock="1"/>
      </w:r>
      <w:r w:rsidR="00EE385A">
        <w:rPr>
          <w:rFonts w:ascii="Arial" w:hAnsi="Arial" w:cs="Arial"/>
          <w:sz w:val="24"/>
        </w:rPr>
        <w:instrText>ADDIN CSL_CITATION {"citationItems":[{"id":"ITEM-1","itemData":{"DOI":"10.1149/2.0611412jes","ISSN":"19457111","abstract":"© 2014 The Electrochemical Society. All rights reserved. This work describes electrochemical interfacial mechanisms under different flow conditions for glassy carbon scaffold electrodes (GCEs) modified with single-walled carbon nanotubes (SWCNTs) and multi-walled carbon nanotubes (MWCNTs) dispersed within a chitosan (Chit) polymer. Cyclic voltammetry (CV) and electrochemical impedance spectroscopy (EIS) were used to characterize and assess the interfacial response. High-resolution techniques also revealed that carbon nanotubes dispersed within a Chit solution provide homogeneous distribution on glassy carbon substrates. The MWCNT-Chit scaffold CV response exhibited a six-fold increase in the redox peak currents (I pa  = 381 μA versus 55 μA for bare GCE). EIS was performed at different polarization potentials based on the results of the anodic peak potential, as measured by CV, in order to elucidate and characterize the charge and mass transfer mechanisms of the nanostructure-modified electrode surfaces so that the influence of flow conditions and redox potential on its performance, could be determined. The selected potentials were: open circuit potential (OCP), 0.2 V, 0.3 V, and 0.4 V. A combination of kinetic and diffusion processes resulted when Electrical analog element analysis was used to correlate the interfacial mechanisms at different flow and bias potential conditions. The EIS experiments demonstrated that Bode diagrams could be used to characterize the porous homogenous formation of layers in the scaffolds and provided new perspectives for those applications requiring flow-through conditions.","author":[{"dropping-particle":"","family":"Galicia","given":"M.","non-dropping-particle":"","parse-names":false,"suffix":""},{"dropping-particle":"","family":"Li","given":"X.","non-dropping-particle":"","parse-names":false,"suffix":""},{"dropping-particle":"","family":"Castaneda","given":"H.","non-dropping-particle":"","parse-names":false,"suffix":""}],"container-title":"Journal of the Electrochemical Society","id":"ITEM-1","issue":"12","issued":{"date-parts":[["2014"]]},"page":"H751-H761","title":"Interfacial characterization of single- And multi-walled CNT-doped chitosan scaffolds under two flow conditions","type":"article-journal","volume":"161"},"uris":["http://www.mendeley.com/documents/?uuid=d0254aaa-65c0-440e-8b48-dc26568237c9"]}],"mendeley":{"formattedCitation":"(Galicia, Li, &amp; Castaneda, 2014)","manualFormatting":"(Galicia, Li y Castaneda, 2014)","plainTextFormattedCitation":"(Galicia, Li, &amp; Castaneda, 2014)","previouslyFormattedCitation":"(Galicia, Li, &amp; Castaneda, 2014)"},"properties":{"noteIndex":0},"schema":"https://github.com/citation-style-language/schema/raw/master/csl-citation.json"}</w:instrText>
      </w:r>
      <w:r w:rsidR="005F6317">
        <w:rPr>
          <w:rFonts w:ascii="Arial" w:hAnsi="Arial" w:cs="Arial"/>
          <w:sz w:val="24"/>
        </w:rPr>
        <w:fldChar w:fldCharType="separate"/>
      </w:r>
      <w:r w:rsidR="002F4707" w:rsidRPr="002F4707">
        <w:rPr>
          <w:rFonts w:ascii="Arial" w:hAnsi="Arial" w:cs="Arial"/>
          <w:noProof/>
          <w:sz w:val="24"/>
        </w:rPr>
        <w:t>(Galicia, Li</w:t>
      </w:r>
      <w:r w:rsidR="00EE385A">
        <w:rPr>
          <w:rFonts w:ascii="Arial" w:hAnsi="Arial" w:cs="Arial"/>
          <w:noProof/>
          <w:sz w:val="24"/>
        </w:rPr>
        <w:t xml:space="preserve"> y</w:t>
      </w:r>
      <w:r w:rsidR="002F4707" w:rsidRPr="002F4707">
        <w:rPr>
          <w:rFonts w:ascii="Arial" w:hAnsi="Arial" w:cs="Arial"/>
          <w:noProof/>
          <w:sz w:val="24"/>
        </w:rPr>
        <w:t xml:space="preserve"> Castaneda, 2014)</w:t>
      </w:r>
      <w:r w:rsidR="005F6317">
        <w:rPr>
          <w:rFonts w:ascii="Arial" w:hAnsi="Arial" w:cs="Arial"/>
          <w:sz w:val="24"/>
        </w:rPr>
        <w:fldChar w:fldCharType="end"/>
      </w:r>
      <w:r w:rsidR="005F6317">
        <w:rPr>
          <w:rFonts w:ascii="Arial" w:hAnsi="Arial" w:cs="Arial"/>
          <w:sz w:val="24"/>
        </w:rPr>
        <w:t>.</w:t>
      </w:r>
    </w:p>
    <w:p w14:paraId="52DA45C1" w14:textId="727ECE06" w:rsidR="000A2F91" w:rsidRPr="000A2F91" w:rsidRDefault="000A2F91" w:rsidP="00E46236">
      <w:pPr>
        <w:spacing w:line="360" w:lineRule="auto"/>
        <w:jc w:val="both"/>
        <w:rPr>
          <w:rFonts w:ascii="Arial" w:hAnsi="Arial" w:cs="Arial"/>
          <w:i/>
          <w:iCs/>
          <w:sz w:val="24"/>
          <w:u w:val="single"/>
        </w:rPr>
      </w:pPr>
      <w:r w:rsidRPr="000A2F91">
        <w:rPr>
          <w:rFonts w:ascii="Arial" w:hAnsi="Arial" w:cs="Arial"/>
          <w:i/>
          <w:iCs/>
          <w:sz w:val="24"/>
          <w:u w:val="single"/>
        </w:rPr>
        <w:t>Modificación del electrodo con MWCNTs-Chit</w:t>
      </w:r>
    </w:p>
    <w:p w14:paraId="3DEDB8AC" w14:textId="634E8798" w:rsidR="00DF433C" w:rsidRDefault="000A2F91" w:rsidP="00E46236">
      <w:pPr>
        <w:spacing w:line="360" w:lineRule="auto"/>
        <w:jc w:val="both"/>
        <w:rPr>
          <w:rFonts w:ascii="Arial" w:hAnsi="Arial" w:cs="Arial"/>
          <w:sz w:val="24"/>
        </w:rPr>
      </w:pPr>
      <w:r w:rsidRPr="000A2F91">
        <w:rPr>
          <w:rFonts w:ascii="Arial" w:hAnsi="Arial" w:cs="Arial"/>
          <w:sz w:val="24"/>
        </w:rPr>
        <w:t>Se prepar</w:t>
      </w:r>
      <w:r>
        <w:rPr>
          <w:rFonts w:ascii="Arial" w:hAnsi="Arial" w:cs="Arial"/>
          <w:sz w:val="24"/>
        </w:rPr>
        <w:t xml:space="preserve">aron </w:t>
      </w:r>
      <w:r w:rsidRPr="000A2F91">
        <w:rPr>
          <w:rFonts w:ascii="Arial" w:hAnsi="Arial" w:cs="Arial"/>
          <w:sz w:val="24"/>
        </w:rPr>
        <w:t>10 m</w:t>
      </w:r>
      <w:r>
        <w:rPr>
          <w:rFonts w:ascii="Arial" w:hAnsi="Arial" w:cs="Arial"/>
          <w:sz w:val="24"/>
        </w:rPr>
        <w:t>L</w:t>
      </w:r>
      <w:r w:rsidRPr="000A2F91">
        <w:rPr>
          <w:rFonts w:ascii="Arial" w:hAnsi="Arial" w:cs="Arial"/>
          <w:sz w:val="24"/>
        </w:rPr>
        <w:t xml:space="preserve"> </w:t>
      </w:r>
      <w:r w:rsidR="006E17D6">
        <w:rPr>
          <w:rFonts w:ascii="Arial" w:hAnsi="Arial" w:cs="Arial"/>
          <w:sz w:val="24"/>
        </w:rPr>
        <w:t xml:space="preserve">de </w:t>
      </w:r>
      <w:r>
        <w:rPr>
          <w:rFonts w:ascii="Arial" w:hAnsi="Arial" w:cs="Arial"/>
          <w:sz w:val="24"/>
        </w:rPr>
        <w:t>una disolución</w:t>
      </w:r>
      <w:r w:rsidRPr="000A2F91">
        <w:rPr>
          <w:rFonts w:ascii="Arial" w:hAnsi="Arial" w:cs="Arial"/>
          <w:sz w:val="24"/>
        </w:rPr>
        <w:t xml:space="preserve"> de quitosano (Sigma-Aldrich) al 0</w:t>
      </w:r>
      <w:r>
        <w:rPr>
          <w:rFonts w:ascii="Arial" w:hAnsi="Arial" w:cs="Arial"/>
          <w:sz w:val="24"/>
        </w:rPr>
        <w:t>.</w:t>
      </w:r>
      <w:r w:rsidRPr="000A2F91">
        <w:rPr>
          <w:rFonts w:ascii="Arial" w:hAnsi="Arial" w:cs="Arial"/>
          <w:sz w:val="24"/>
        </w:rPr>
        <w:t>5% en CH</w:t>
      </w:r>
      <w:r w:rsidRPr="000A2F91">
        <w:rPr>
          <w:rFonts w:ascii="Arial" w:hAnsi="Arial" w:cs="Arial"/>
          <w:sz w:val="24"/>
          <w:vertAlign w:val="subscript"/>
        </w:rPr>
        <w:t>3</w:t>
      </w:r>
      <w:r w:rsidRPr="000A2F91">
        <w:rPr>
          <w:rFonts w:ascii="Arial" w:hAnsi="Arial" w:cs="Arial"/>
          <w:sz w:val="24"/>
        </w:rPr>
        <w:t>COOH 2 M</w:t>
      </w:r>
      <w:r w:rsidR="006E17D6">
        <w:rPr>
          <w:rFonts w:ascii="Arial" w:hAnsi="Arial" w:cs="Arial"/>
          <w:sz w:val="24"/>
        </w:rPr>
        <w:t xml:space="preserve"> con </w:t>
      </w:r>
      <w:r w:rsidR="006E17D6" w:rsidRPr="000A2F91">
        <w:rPr>
          <w:rFonts w:ascii="Arial" w:hAnsi="Arial" w:cs="Arial"/>
          <w:sz w:val="24"/>
        </w:rPr>
        <w:t>25 mg de MWCNTs</w:t>
      </w:r>
      <w:r w:rsidR="006E17D6">
        <w:rPr>
          <w:rFonts w:ascii="Arial" w:hAnsi="Arial" w:cs="Arial"/>
          <w:sz w:val="24"/>
        </w:rPr>
        <w:t xml:space="preserve"> </w:t>
      </w:r>
      <w:r w:rsidR="006E17D6" w:rsidRPr="000A2F91">
        <w:rPr>
          <w:rFonts w:ascii="Arial" w:hAnsi="Arial" w:cs="Arial"/>
          <w:sz w:val="24"/>
        </w:rPr>
        <w:t>funcionalizados</w:t>
      </w:r>
      <w:r w:rsidR="006E17D6">
        <w:rPr>
          <w:rFonts w:ascii="Arial" w:hAnsi="Arial" w:cs="Arial"/>
          <w:sz w:val="24"/>
        </w:rPr>
        <w:t>.</w:t>
      </w:r>
      <w:r w:rsidR="006E17D6" w:rsidRPr="000A2F91">
        <w:rPr>
          <w:rFonts w:ascii="Arial" w:hAnsi="Arial" w:cs="Arial"/>
          <w:sz w:val="24"/>
        </w:rPr>
        <w:t xml:space="preserve"> </w:t>
      </w:r>
      <w:r w:rsidRPr="000A2F91">
        <w:rPr>
          <w:rFonts w:ascii="Arial" w:hAnsi="Arial" w:cs="Arial"/>
          <w:sz w:val="24"/>
        </w:rPr>
        <w:t xml:space="preserve">La </w:t>
      </w:r>
      <w:r>
        <w:rPr>
          <w:rFonts w:ascii="Arial" w:hAnsi="Arial" w:cs="Arial"/>
          <w:sz w:val="24"/>
        </w:rPr>
        <w:t>di</w:t>
      </w:r>
      <w:r w:rsidRPr="000A2F91">
        <w:rPr>
          <w:rFonts w:ascii="Arial" w:hAnsi="Arial" w:cs="Arial"/>
          <w:sz w:val="24"/>
        </w:rPr>
        <w:t>solución se dispersó ultrasónicamente (Chicago Electronic®) durante 30 min</w:t>
      </w:r>
      <w:r w:rsidR="006E17D6">
        <w:rPr>
          <w:rFonts w:ascii="Arial" w:hAnsi="Arial" w:cs="Arial"/>
          <w:sz w:val="24"/>
        </w:rPr>
        <w:t>.</w:t>
      </w:r>
      <w:r w:rsidRPr="000A2F91">
        <w:rPr>
          <w:rFonts w:ascii="Arial" w:hAnsi="Arial" w:cs="Arial"/>
          <w:sz w:val="24"/>
        </w:rPr>
        <w:t xml:space="preserve"> </w:t>
      </w:r>
      <w:r>
        <w:rPr>
          <w:rFonts w:ascii="Arial" w:hAnsi="Arial" w:cs="Arial"/>
          <w:sz w:val="24"/>
        </w:rPr>
        <w:t>Enseguida</w:t>
      </w:r>
      <w:r w:rsidRPr="000A2F91">
        <w:rPr>
          <w:rFonts w:ascii="Arial" w:hAnsi="Arial" w:cs="Arial"/>
          <w:sz w:val="24"/>
        </w:rPr>
        <w:t xml:space="preserve"> se a</w:t>
      </w:r>
      <w:r w:rsidR="006E17D6">
        <w:rPr>
          <w:rFonts w:ascii="Arial" w:hAnsi="Arial" w:cs="Arial"/>
          <w:sz w:val="24"/>
        </w:rPr>
        <w:t>graron</w:t>
      </w:r>
      <w:r w:rsidRPr="000A2F91">
        <w:rPr>
          <w:rFonts w:ascii="Arial" w:hAnsi="Arial" w:cs="Arial"/>
          <w:sz w:val="24"/>
        </w:rPr>
        <w:t xml:space="preserve"> 5 μL en la superficie del electrodo de carbono vítreo (Φ = 3 mm), previamente pulido con polvo de alúmina (0.3 </w:t>
      </w:r>
      <w:proofErr w:type="spellStart"/>
      <w:r w:rsidRPr="000A2F91">
        <w:rPr>
          <w:rFonts w:ascii="Arial" w:hAnsi="Arial" w:cs="Arial"/>
          <w:sz w:val="24"/>
        </w:rPr>
        <w:t>μm</w:t>
      </w:r>
      <w:proofErr w:type="spellEnd"/>
      <w:r w:rsidRPr="000A2F91">
        <w:rPr>
          <w:rFonts w:ascii="Arial" w:hAnsi="Arial" w:cs="Arial"/>
          <w:sz w:val="24"/>
        </w:rPr>
        <w:t>). Se dejó secar</w:t>
      </w:r>
      <w:r w:rsidR="00312506">
        <w:rPr>
          <w:rFonts w:ascii="Arial" w:hAnsi="Arial" w:cs="Arial"/>
          <w:sz w:val="24"/>
        </w:rPr>
        <w:t>,</w:t>
      </w:r>
      <w:r w:rsidRPr="000A2F91">
        <w:rPr>
          <w:rFonts w:ascii="Arial" w:hAnsi="Arial" w:cs="Arial"/>
          <w:sz w:val="24"/>
        </w:rPr>
        <w:t xml:space="preserve"> después se sumergió en </w:t>
      </w:r>
      <w:r w:rsidR="00312506">
        <w:rPr>
          <w:rFonts w:ascii="Arial" w:hAnsi="Arial" w:cs="Arial"/>
          <w:sz w:val="24"/>
        </w:rPr>
        <w:t>una di</w:t>
      </w:r>
      <w:r w:rsidRPr="000A2F91">
        <w:rPr>
          <w:rFonts w:ascii="Arial" w:hAnsi="Arial" w:cs="Arial"/>
          <w:sz w:val="24"/>
        </w:rPr>
        <w:t>solución de NaOH 0</w:t>
      </w:r>
      <w:r>
        <w:rPr>
          <w:rFonts w:ascii="Arial" w:hAnsi="Arial" w:cs="Arial"/>
          <w:sz w:val="24"/>
        </w:rPr>
        <w:t>.</w:t>
      </w:r>
      <w:r w:rsidRPr="000A2F91">
        <w:rPr>
          <w:rFonts w:ascii="Arial" w:hAnsi="Arial" w:cs="Arial"/>
          <w:sz w:val="24"/>
        </w:rPr>
        <w:t xml:space="preserve">1 M durante 5 min </w:t>
      </w:r>
      <w:r w:rsidR="006E17D6">
        <w:rPr>
          <w:rFonts w:ascii="Arial" w:hAnsi="Arial" w:cs="Arial"/>
          <w:sz w:val="24"/>
        </w:rPr>
        <w:t>(eliminación de</w:t>
      </w:r>
      <w:r w:rsidRPr="000A2F91">
        <w:rPr>
          <w:rFonts w:ascii="Arial" w:hAnsi="Arial" w:cs="Arial"/>
          <w:sz w:val="24"/>
        </w:rPr>
        <w:t xml:space="preserve"> trazas de CH</w:t>
      </w:r>
      <w:r w:rsidRPr="000A2F91">
        <w:rPr>
          <w:rFonts w:ascii="Arial" w:hAnsi="Arial" w:cs="Arial"/>
          <w:sz w:val="24"/>
          <w:vertAlign w:val="subscript"/>
        </w:rPr>
        <w:t>3</w:t>
      </w:r>
      <w:r w:rsidRPr="000A2F91">
        <w:rPr>
          <w:rFonts w:ascii="Arial" w:hAnsi="Arial" w:cs="Arial"/>
          <w:sz w:val="24"/>
        </w:rPr>
        <w:t>COO</w:t>
      </w:r>
      <w:r w:rsidR="006E17D6">
        <w:rPr>
          <w:rFonts w:ascii="Arial" w:hAnsi="Arial" w:cs="Arial"/>
          <w:sz w:val="24"/>
        </w:rPr>
        <w:t>H),</w:t>
      </w:r>
      <w:r>
        <w:rPr>
          <w:rFonts w:ascii="Arial" w:hAnsi="Arial" w:cs="Arial"/>
          <w:sz w:val="24"/>
        </w:rPr>
        <w:t xml:space="preserve"> luego fue</w:t>
      </w:r>
      <w:r w:rsidRPr="000A2F91">
        <w:rPr>
          <w:rFonts w:ascii="Arial" w:hAnsi="Arial" w:cs="Arial"/>
          <w:sz w:val="24"/>
        </w:rPr>
        <w:t xml:space="preserve"> enjuagado con abundante agua desionizada y 10 m</w:t>
      </w:r>
      <w:r>
        <w:rPr>
          <w:rFonts w:ascii="Arial" w:hAnsi="Arial" w:cs="Arial"/>
          <w:sz w:val="24"/>
        </w:rPr>
        <w:t>L</w:t>
      </w:r>
      <w:r w:rsidRPr="000A2F91">
        <w:rPr>
          <w:rFonts w:ascii="Arial" w:hAnsi="Arial" w:cs="Arial"/>
          <w:sz w:val="24"/>
        </w:rPr>
        <w:t xml:space="preserve"> de etanol (99%, J. T. Baker). </w:t>
      </w:r>
    </w:p>
    <w:p w14:paraId="63D2855C" w14:textId="3C7B9022" w:rsidR="00DF433C" w:rsidRDefault="000A2F91" w:rsidP="00E46236">
      <w:pPr>
        <w:spacing w:line="360" w:lineRule="auto"/>
        <w:jc w:val="both"/>
        <w:rPr>
          <w:rFonts w:ascii="Arial" w:hAnsi="Arial" w:cs="Arial"/>
          <w:i/>
          <w:iCs/>
          <w:sz w:val="24"/>
          <w:u w:val="single"/>
        </w:rPr>
      </w:pPr>
      <w:r>
        <w:rPr>
          <w:rFonts w:ascii="Arial" w:hAnsi="Arial" w:cs="Arial"/>
          <w:i/>
          <w:iCs/>
          <w:sz w:val="24"/>
          <w:u w:val="single"/>
        </w:rPr>
        <w:t>Instrumentación</w:t>
      </w:r>
    </w:p>
    <w:p w14:paraId="6B554B7B" w14:textId="7FF69B44" w:rsidR="000A2F91" w:rsidRPr="000A2F91" w:rsidRDefault="000A2F91" w:rsidP="00E46236">
      <w:pPr>
        <w:spacing w:line="360" w:lineRule="auto"/>
        <w:jc w:val="both"/>
        <w:rPr>
          <w:rFonts w:ascii="Arial" w:hAnsi="Arial" w:cs="Arial"/>
          <w:sz w:val="24"/>
        </w:rPr>
      </w:pPr>
      <w:r w:rsidRPr="000A2F91">
        <w:rPr>
          <w:rFonts w:ascii="Arial" w:hAnsi="Arial" w:cs="Arial"/>
          <w:sz w:val="24"/>
        </w:rPr>
        <w:t xml:space="preserve">Todos los experimentos se llevaron a cabo en una celda electroquímica con </w:t>
      </w:r>
      <w:r w:rsidR="005C44C1">
        <w:rPr>
          <w:rFonts w:ascii="Arial" w:hAnsi="Arial" w:cs="Arial"/>
          <w:sz w:val="24"/>
        </w:rPr>
        <w:t>arreglo</w:t>
      </w:r>
      <w:r w:rsidRPr="000A2F91">
        <w:rPr>
          <w:rFonts w:ascii="Arial" w:hAnsi="Arial" w:cs="Arial"/>
          <w:sz w:val="24"/>
        </w:rPr>
        <w:t xml:space="preserve"> de tres electrodos. Como electrodo de referencia, se us</w:t>
      </w:r>
      <w:r w:rsidR="005C44C1">
        <w:rPr>
          <w:rFonts w:ascii="Arial" w:hAnsi="Arial" w:cs="Arial"/>
          <w:sz w:val="24"/>
        </w:rPr>
        <w:t>ó</w:t>
      </w:r>
      <w:r w:rsidRPr="000A2F91">
        <w:rPr>
          <w:rFonts w:ascii="Arial" w:hAnsi="Arial" w:cs="Arial"/>
          <w:sz w:val="24"/>
        </w:rPr>
        <w:t xml:space="preserve"> un electrodo de calomel saturado (SCE)</w:t>
      </w:r>
      <w:r w:rsidR="005C44C1">
        <w:rPr>
          <w:rFonts w:ascii="Arial" w:hAnsi="Arial" w:cs="Arial"/>
          <w:sz w:val="24"/>
        </w:rPr>
        <w:t>,</w:t>
      </w:r>
      <w:r w:rsidRPr="000A2F91">
        <w:rPr>
          <w:rFonts w:ascii="Arial" w:hAnsi="Arial" w:cs="Arial"/>
          <w:sz w:val="24"/>
        </w:rPr>
        <w:t xml:space="preserve"> </w:t>
      </w:r>
      <w:r w:rsidR="005C44C1">
        <w:rPr>
          <w:rFonts w:ascii="Arial" w:hAnsi="Arial" w:cs="Arial"/>
          <w:sz w:val="24"/>
        </w:rPr>
        <w:t xml:space="preserve">un </w:t>
      </w:r>
      <w:r w:rsidRPr="000A2F91">
        <w:rPr>
          <w:rFonts w:ascii="Arial" w:hAnsi="Arial" w:cs="Arial"/>
          <w:sz w:val="24"/>
        </w:rPr>
        <w:t>electrodo de malla de platino como electrodo auxiliar. La voltam</w:t>
      </w:r>
      <w:r w:rsidR="00B03976">
        <w:rPr>
          <w:rFonts w:ascii="Arial" w:hAnsi="Arial" w:cs="Arial"/>
          <w:sz w:val="24"/>
        </w:rPr>
        <w:t>perom</w:t>
      </w:r>
      <w:r w:rsidRPr="000A2F91">
        <w:rPr>
          <w:rFonts w:ascii="Arial" w:hAnsi="Arial" w:cs="Arial"/>
          <w:sz w:val="24"/>
        </w:rPr>
        <w:t>etría cíclica (CV), la espectroscopía de impedancia electroquímica (EIS) y la voltamperometría de onda cuadrada (SWV) se realizaron en un potenciostato VSP-300 (Bio-</w:t>
      </w:r>
      <w:proofErr w:type="spellStart"/>
      <w:r w:rsidRPr="000A2F91">
        <w:rPr>
          <w:rFonts w:ascii="Arial" w:hAnsi="Arial" w:cs="Arial"/>
          <w:sz w:val="24"/>
        </w:rPr>
        <w:t>Logic</w:t>
      </w:r>
      <w:proofErr w:type="spellEnd"/>
      <w:r w:rsidRPr="000A2F91">
        <w:rPr>
          <w:rFonts w:ascii="Arial" w:hAnsi="Arial" w:cs="Arial"/>
          <w:sz w:val="24"/>
        </w:rPr>
        <w:t xml:space="preserve"> </w:t>
      </w:r>
      <w:proofErr w:type="spellStart"/>
      <w:r w:rsidRPr="000A2F91">
        <w:rPr>
          <w:rFonts w:ascii="Arial" w:hAnsi="Arial" w:cs="Arial"/>
          <w:sz w:val="24"/>
        </w:rPr>
        <w:t>Science</w:t>
      </w:r>
      <w:proofErr w:type="spellEnd"/>
      <w:r w:rsidRPr="000A2F91">
        <w:rPr>
          <w:rFonts w:ascii="Arial" w:hAnsi="Arial" w:cs="Arial"/>
          <w:sz w:val="24"/>
        </w:rPr>
        <w:t xml:space="preserve"> Instruments) usando el software EC-</w:t>
      </w:r>
      <w:proofErr w:type="spellStart"/>
      <w:r w:rsidRPr="000A2F91">
        <w:rPr>
          <w:rFonts w:ascii="Arial" w:hAnsi="Arial" w:cs="Arial"/>
          <w:sz w:val="24"/>
        </w:rPr>
        <w:t>Lab</w:t>
      </w:r>
      <w:proofErr w:type="spellEnd"/>
      <w:r w:rsidRPr="000A2F91">
        <w:rPr>
          <w:rFonts w:ascii="Arial" w:hAnsi="Arial" w:cs="Arial"/>
          <w:sz w:val="24"/>
        </w:rPr>
        <w:t xml:space="preserve">® V.10.32. El pH se ajustó con adiciones de </w:t>
      </w:r>
      <w:r w:rsidR="0048302E">
        <w:rPr>
          <w:rFonts w:ascii="Arial" w:hAnsi="Arial" w:cs="Arial"/>
          <w:sz w:val="24"/>
        </w:rPr>
        <w:t>di</w:t>
      </w:r>
      <w:r w:rsidRPr="000A2F91">
        <w:rPr>
          <w:rFonts w:ascii="Arial" w:hAnsi="Arial" w:cs="Arial"/>
          <w:sz w:val="24"/>
        </w:rPr>
        <w:t xml:space="preserve">soluciones estándar de NaOH 0.1 M y HCl 0.1 M, usando un pHmetro </w:t>
      </w:r>
      <w:proofErr w:type="spellStart"/>
      <w:r w:rsidRPr="000A2F91">
        <w:rPr>
          <w:rFonts w:ascii="Arial" w:hAnsi="Arial" w:cs="Arial"/>
          <w:sz w:val="24"/>
        </w:rPr>
        <w:t>Thermo</w:t>
      </w:r>
      <w:proofErr w:type="spellEnd"/>
      <w:r w:rsidRPr="000A2F91">
        <w:rPr>
          <w:rFonts w:ascii="Arial" w:hAnsi="Arial" w:cs="Arial"/>
          <w:sz w:val="24"/>
        </w:rPr>
        <w:t xml:space="preserve"> </w:t>
      </w:r>
      <w:proofErr w:type="spellStart"/>
      <w:r w:rsidRPr="000A2F91">
        <w:rPr>
          <w:rFonts w:ascii="Arial" w:hAnsi="Arial" w:cs="Arial"/>
          <w:sz w:val="24"/>
        </w:rPr>
        <w:t>Scientific</w:t>
      </w:r>
      <w:proofErr w:type="spellEnd"/>
      <w:r w:rsidRPr="000A2F91">
        <w:rPr>
          <w:rFonts w:ascii="Arial" w:hAnsi="Arial" w:cs="Arial"/>
          <w:sz w:val="24"/>
        </w:rPr>
        <w:t xml:space="preserve"> </w:t>
      </w:r>
      <w:proofErr w:type="spellStart"/>
      <w:r w:rsidRPr="000A2F91">
        <w:rPr>
          <w:rFonts w:ascii="Arial" w:hAnsi="Arial" w:cs="Arial"/>
          <w:sz w:val="24"/>
        </w:rPr>
        <w:t>Orion</w:t>
      </w:r>
      <w:proofErr w:type="spellEnd"/>
      <w:r w:rsidRPr="000A2F91">
        <w:rPr>
          <w:rFonts w:ascii="Arial" w:hAnsi="Arial" w:cs="Arial"/>
          <w:sz w:val="24"/>
        </w:rPr>
        <w:t xml:space="preserve"> 3 </w:t>
      </w:r>
      <w:proofErr w:type="spellStart"/>
      <w:r w:rsidRPr="000A2F91">
        <w:rPr>
          <w:rFonts w:ascii="Arial" w:hAnsi="Arial" w:cs="Arial"/>
          <w:sz w:val="24"/>
        </w:rPr>
        <w:t>StarTM</w:t>
      </w:r>
      <w:proofErr w:type="spellEnd"/>
      <w:r w:rsidRPr="000A2F91">
        <w:rPr>
          <w:rFonts w:ascii="Arial" w:hAnsi="Arial" w:cs="Arial"/>
          <w:sz w:val="24"/>
        </w:rPr>
        <w:t xml:space="preserve">. </w:t>
      </w:r>
    </w:p>
    <w:p w14:paraId="1E530353" w14:textId="08B5D072" w:rsidR="00DF433C" w:rsidRPr="00B03976" w:rsidRDefault="00B03976" w:rsidP="00E46236">
      <w:pPr>
        <w:spacing w:line="360" w:lineRule="auto"/>
        <w:jc w:val="both"/>
        <w:rPr>
          <w:rFonts w:ascii="Arial" w:hAnsi="Arial" w:cs="Arial"/>
          <w:i/>
          <w:iCs/>
          <w:sz w:val="24"/>
          <w:u w:val="single"/>
        </w:rPr>
      </w:pPr>
      <w:r w:rsidRPr="00B03976">
        <w:rPr>
          <w:rFonts w:ascii="Arial" w:hAnsi="Arial" w:cs="Arial"/>
          <w:i/>
          <w:iCs/>
          <w:sz w:val="24"/>
          <w:u w:val="single"/>
        </w:rPr>
        <w:t>Caracterización morfológica del electrodo MWCNTs-Chit</w:t>
      </w:r>
    </w:p>
    <w:p w14:paraId="382E2B48" w14:textId="311824A3" w:rsidR="00101C45" w:rsidRDefault="00B03976" w:rsidP="00E46236">
      <w:pPr>
        <w:spacing w:line="360" w:lineRule="auto"/>
        <w:jc w:val="both"/>
        <w:rPr>
          <w:rFonts w:ascii="Arial" w:hAnsi="Arial" w:cs="Arial"/>
          <w:sz w:val="24"/>
        </w:rPr>
      </w:pPr>
      <w:r w:rsidRPr="00B03976">
        <w:rPr>
          <w:rFonts w:ascii="Arial" w:hAnsi="Arial" w:cs="Arial"/>
          <w:sz w:val="24"/>
        </w:rPr>
        <w:t>Las micrografías de la morfología de la superficie del electrodo modificado se obtuvieron mediante microscopía electrónica de barrido (SEM), así como el análisis de la composición elemental mediante espectrometría de dispersión de energía de rayos X (EDS)</w:t>
      </w:r>
      <w:r>
        <w:rPr>
          <w:rFonts w:ascii="Arial" w:hAnsi="Arial" w:cs="Arial"/>
          <w:sz w:val="24"/>
        </w:rPr>
        <w:t xml:space="preserve">, con </w:t>
      </w:r>
      <w:r w:rsidRPr="00B03976">
        <w:rPr>
          <w:rFonts w:ascii="Arial" w:hAnsi="Arial" w:cs="Arial"/>
          <w:sz w:val="24"/>
        </w:rPr>
        <w:t>un microscopio electrónico JEOL JSM-7000F.</w:t>
      </w:r>
    </w:p>
    <w:p w14:paraId="064241A8" w14:textId="03E84778" w:rsidR="00312506" w:rsidRPr="00312506" w:rsidRDefault="00312506" w:rsidP="00E46236">
      <w:pPr>
        <w:spacing w:line="360" w:lineRule="auto"/>
        <w:jc w:val="both"/>
        <w:rPr>
          <w:rFonts w:ascii="Arial" w:hAnsi="Arial" w:cs="Arial"/>
          <w:b/>
          <w:bCs/>
          <w:sz w:val="24"/>
        </w:rPr>
      </w:pPr>
      <w:r>
        <w:rPr>
          <w:rFonts w:ascii="Arial" w:hAnsi="Arial" w:cs="Arial"/>
          <w:b/>
          <w:bCs/>
          <w:sz w:val="24"/>
        </w:rPr>
        <w:t>Resultados y discusión</w:t>
      </w:r>
    </w:p>
    <w:p w14:paraId="47AD8675" w14:textId="03F9C820" w:rsidR="00B03976" w:rsidRPr="00B03976" w:rsidRDefault="00B03976" w:rsidP="00E46236">
      <w:pPr>
        <w:spacing w:line="360" w:lineRule="auto"/>
        <w:jc w:val="both"/>
        <w:rPr>
          <w:rFonts w:ascii="Arial" w:hAnsi="Arial" w:cs="Arial"/>
          <w:i/>
          <w:iCs/>
          <w:sz w:val="24"/>
          <w:u w:val="single"/>
        </w:rPr>
      </w:pPr>
      <w:r w:rsidRPr="00B03976">
        <w:rPr>
          <w:rFonts w:ascii="Arial" w:hAnsi="Arial" w:cs="Arial"/>
          <w:i/>
          <w:iCs/>
          <w:sz w:val="24"/>
          <w:u w:val="single"/>
        </w:rPr>
        <w:t>Análisis morfológico por SEM</w:t>
      </w:r>
    </w:p>
    <w:p w14:paraId="3F18254E" w14:textId="423F49E2" w:rsidR="008E39DC" w:rsidRDefault="008E39DC" w:rsidP="00E46236">
      <w:pPr>
        <w:spacing w:line="360" w:lineRule="auto"/>
        <w:jc w:val="both"/>
        <w:rPr>
          <w:rFonts w:ascii="Arial" w:hAnsi="Arial" w:cs="Arial"/>
          <w:sz w:val="24"/>
        </w:rPr>
      </w:pPr>
      <w:r>
        <w:rPr>
          <w:rFonts w:ascii="Arial" w:eastAsiaTheme="minorEastAsia" w:hAnsi="Arial" w:cs="Arial"/>
          <w:noProof/>
          <w:sz w:val="24"/>
        </w:rPr>
        <w:drawing>
          <wp:anchor distT="0" distB="0" distL="114300" distR="114300" simplePos="0" relativeHeight="251763712" behindDoc="1" locked="0" layoutInCell="1" allowOverlap="1" wp14:anchorId="2EADF33B" wp14:editId="64AA9255">
            <wp:simplePos x="0" y="0"/>
            <wp:positionH relativeFrom="margin">
              <wp:posOffset>62865</wp:posOffset>
            </wp:positionH>
            <wp:positionV relativeFrom="paragraph">
              <wp:posOffset>1336675</wp:posOffset>
            </wp:positionV>
            <wp:extent cx="3757295" cy="1644650"/>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57295" cy="16446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765760" behindDoc="1" locked="0" layoutInCell="1" allowOverlap="1" wp14:anchorId="4B4041BB" wp14:editId="6F1FC9D8">
            <wp:simplePos x="0" y="0"/>
            <wp:positionH relativeFrom="margin">
              <wp:posOffset>3837305</wp:posOffset>
            </wp:positionH>
            <wp:positionV relativeFrom="paragraph">
              <wp:posOffset>1298956</wp:posOffset>
            </wp:positionV>
            <wp:extent cx="2002155" cy="1599565"/>
            <wp:effectExtent l="0" t="0" r="0"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25579" t="51281" r="21389"/>
                    <a:stretch/>
                  </pic:blipFill>
                  <pic:spPr bwMode="auto">
                    <a:xfrm>
                      <a:off x="0" y="0"/>
                      <a:ext cx="2002155" cy="15995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03976" w:rsidRPr="00B03976">
        <w:rPr>
          <w:rFonts w:ascii="Arial" w:hAnsi="Arial" w:cs="Arial"/>
          <w:sz w:val="24"/>
        </w:rPr>
        <w:t>La morfología del electrodo de carbono vítreo modificado con MWCNT y MWCNT-Chit se caracterizó por SEM. En el caso del carbono vítreo no modificado (Figura 2a) se observó una superficie relativamente plana y lisa. Al agregar MWCNT</w:t>
      </w:r>
      <w:r w:rsidR="0053273F">
        <w:rPr>
          <w:rFonts w:ascii="Arial" w:hAnsi="Arial" w:cs="Arial"/>
          <w:sz w:val="24"/>
        </w:rPr>
        <w:t>, estos</w:t>
      </w:r>
      <w:r w:rsidR="00B03976" w:rsidRPr="00B03976">
        <w:rPr>
          <w:rFonts w:ascii="Arial" w:hAnsi="Arial" w:cs="Arial"/>
          <w:sz w:val="24"/>
        </w:rPr>
        <w:t xml:space="preserve"> se distribuyeron de manera muy desorganizada, la micrografía </w:t>
      </w:r>
      <w:r w:rsidR="00B03976">
        <w:rPr>
          <w:rFonts w:ascii="Arial" w:hAnsi="Arial" w:cs="Arial"/>
          <w:sz w:val="24"/>
        </w:rPr>
        <w:t xml:space="preserve">(Figura 2b) </w:t>
      </w:r>
      <w:r w:rsidR="00B03976" w:rsidRPr="00B03976">
        <w:rPr>
          <w:rFonts w:ascii="Arial" w:hAnsi="Arial" w:cs="Arial"/>
          <w:sz w:val="24"/>
        </w:rPr>
        <w:t>se observa con baja definición debido a la formación de grumos y aglomeraciones</w:t>
      </w:r>
      <w:r>
        <w:rPr>
          <w:rFonts w:ascii="Arial" w:hAnsi="Arial" w:cs="Arial"/>
          <w:sz w:val="24"/>
        </w:rPr>
        <w:t>.</w:t>
      </w:r>
      <w:r w:rsidR="00B03976" w:rsidRPr="00B03976">
        <w:rPr>
          <w:rFonts w:ascii="Arial" w:hAnsi="Arial" w:cs="Arial"/>
          <w:sz w:val="24"/>
        </w:rPr>
        <w:t xml:space="preserve"> </w:t>
      </w:r>
    </w:p>
    <w:p w14:paraId="0ECE49E3" w14:textId="736BE9C3" w:rsidR="008E39DC" w:rsidRDefault="008E39DC" w:rsidP="00E46236">
      <w:pPr>
        <w:spacing w:line="360" w:lineRule="auto"/>
        <w:jc w:val="both"/>
        <w:rPr>
          <w:rFonts w:ascii="Arial" w:hAnsi="Arial" w:cs="Arial"/>
          <w:sz w:val="24"/>
        </w:rPr>
      </w:pPr>
    </w:p>
    <w:p w14:paraId="4D40FA72" w14:textId="7E7FC523" w:rsidR="008E39DC" w:rsidRDefault="008E39DC" w:rsidP="00E46236">
      <w:pPr>
        <w:spacing w:line="360" w:lineRule="auto"/>
        <w:jc w:val="both"/>
        <w:rPr>
          <w:rFonts w:ascii="Arial" w:hAnsi="Arial" w:cs="Arial"/>
          <w:sz w:val="24"/>
        </w:rPr>
      </w:pPr>
    </w:p>
    <w:p w14:paraId="0F009587" w14:textId="1F1D84B8" w:rsidR="008E39DC" w:rsidRDefault="008E39DC" w:rsidP="00E46236">
      <w:pPr>
        <w:spacing w:line="360" w:lineRule="auto"/>
        <w:jc w:val="both"/>
        <w:rPr>
          <w:rFonts w:ascii="Arial" w:hAnsi="Arial" w:cs="Arial"/>
          <w:sz w:val="24"/>
        </w:rPr>
      </w:pPr>
    </w:p>
    <w:p w14:paraId="3A59ED8F" w14:textId="47198785" w:rsidR="008E39DC" w:rsidRDefault="008E39DC" w:rsidP="00E46236">
      <w:pPr>
        <w:spacing w:line="360" w:lineRule="auto"/>
        <w:jc w:val="both"/>
        <w:rPr>
          <w:rFonts w:ascii="Arial" w:hAnsi="Arial" w:cs="Arial"/>
          <w:sz w:val="24"/>
        </w:rPr>
      </w:pPr>
    </w:p>
    <w:p w14:paraId="2C1373CC" w14:textId="70627D27" w:rsidR="008E39DC" w:rsidRPr="00B03976" w:rsidRDefault="008E39DC" w:rsidP="008E39DC">
      <w:pPr>
        <w:rPr>
          <w:rFonts w:ascii="Arial" w:eastAsiaTheme="minorEastAsia" w:hAnsi="Arial" w:cs="Arial"/>
          <w:noProof/>
          <w:sz w:val="20"/>
          <w:szCs w:val="18"/>
        </w:rPr>
      </w:pPr>
      <w:r w:rsidRPr="00B03976">
        <w:rPr>
          <w:rFonts w:ascii="Arial" w:eastAsiaTheme="minorEastAsia" w:hAnsi="Arial" w:cs="Arial"/>
          <w:b/>
          <w:bCs/>
          <w:noProof/>
          <w:sz w:val="20"/>
          <w:szCs w:val="18"/>
        </w:rPr>
        <w:t>Figura 2</w:t>
      </w:r>
      <w:r w:rsidRPr="00B03976">
        <w:rPr>
          <w:rFonts w:ascii="Arial" w:eastAsiaTheme="minorEastAsia" w:hAnsi="Arial" w:cs="Arial"/>
          <w:noProof/>
          <w:sz w:val="20"/>
          <w:szCs w:val="18"/>
        </w:rPr>
        <w:t>. Imágenes SEM de electrodos a) GC desnudo b) MWCNT/GCE c) MWCNT-Chit/GCE</w:t>
      </w:r>
      <w:r>
        <w:rPr>
          <w:rFonts w:ascii="Arial" w:eastAsiaTheme="minorEastAsia" w:hAnsi="Arial" w:cs="Arial"/>
          <w:noProof/>
          <w:sz w:val="20"/>
          <w:szCs w:val="18"/>
        </w:rPr>
        <w:t>.</w:t>
      </w:r>
    </w:p>
    <w:p w14:paraId="6B172862" w14:textId="22E31406" w:rsidR="00737DD3" w:rsidRPr="008E39DC" w:rsidRDefault="00B03976" w:rsidP="008E39DC">
      <w:pPr>
        <w:spacing w:line="360" w:lineRule="auto"/>
        <w:jc w:val="both"/>
        <w:rPr>
          <w:rFonts w:ascii="Arial" w:hAnsi="Arial" w:cs="Arial"/>
          <w:sz w:val="24"/>
        </w:rPr>
      </w:pPr>
      <w:r w:rsidRPr="00B03976">
        <w:rPr>
          <w:rFonts w:ascii="Arial" w:hAnsi="Arial" w:cs="Arial"/>
          <w:sz w:val="24"/>
        </w:rPr>
        <w:t>En la Fig</w:t>
      </w:r>
      <w:r>
        <w:rPr>
          <w:rFonts w:ascii="Arial" w:hAnsi="Arial" w:cs="Arial"/>
          <w:sz w:val="24"/>
        </w:rPr>
        <w:t>ura</w:t>
      </w:r>
      <w:r w:rsidRPr="00B03976">
        <w:rPr>
          <w:rFonts w:ascii="Arial" w:hAnsi="Arial" w:cs="Arial"/>
          <w:sz w:val="24"/>
        </w:rPr>
        <w:t xml:space="preserve"> 2c se observó una mejor dispersión de MWCNT cuando se unen al quitosano, lo que le da al electrodo mayor área para la interacción con los iones </w:t>
      </w:r>
      <w:proofErr w:type="gramStart"/>
      <w:r w:rsidRPr="00B03976">
        <w:rPr>
          <w:rFonts w:ascii="Arial" w:hAnsi="Arial" w:cs="Arial"/>
          <w:sz w:val="24"/>
        </w:rPr>
        <w:t>Cd(</w:t>
      </w:r>
      <w:proofErr w:type="gramEnd"/>
      <w:r w:rsidRPr="00B03976">
        <w:rPr>
          <w:rFonts w:ascii="Arial" w:hAnsi="Arial" w:cs="Arial"/>
          <w:sz w:val="24"/>
        </w:rPr>
        <w:t>II). Una posible explicación se debe a las interacciones supramoleculares (MWCNT-quitosano), donde el quitosano anclado por enlaces de hidrógeno puede proteger y estabilizar los CNT, evitando formar una estructura arrugada y enredada</w:t>
      </w:r>
      <w:r w:rsidR="008E39DC">
        <w:rPr>
          <w:rFonts w:ascii="Arial" w:hAnsi="Arial" w:cs="Arial"/>
          <w:sz w:val="24"/>
        </w:rPr>
        <w:t>.</w:t>
      </w:r>
    </w:p>
    <w:p w14:paraId="1C8AD153" w14:textId="2D6E4A81" w:rsidR="00B03976" w:rsidRPr="00B03976" w:rsidRDefault="00B03976" w:rsidP="005656C2">
      <w:pPr>
        <w:rPr>
          <w:rFonts w:ascii="Arial" w:eastAsiaTheme="minorEastAsia" w:hAnsi="Arial" w:cs="Arial"/>
          <w:i/>
          <w:iCs/>
          <w:noProof/>
          <w:sz w:val="24"/>
          <w:u w:val="single"/>
        </w:rPr>
      </w:pPr>
      <w:r w:rsidRPr="00B03976">
        <w:rPr>
          <w:rFonts w:ascii="Arial" w:eastAsiaTheme="minorEastAsia" w:hAnsi="Arial" w:cs="Arial"/>
          <w:i/>
          <w:iCs/>
          <w:noProof/>
          <w:sz w:val="24"/>
          <w:u w:val="single"/>
        </w:rPr>
        <w:t>Espectroscopía de impedancia electroquímica (EIS)</w:t>
      </w:r>
    </w:p>
    <w:p w14:paraId="02288926" w14:textId="2FB8A5FF" w:rsidR="00B03976" w:rsidRDefault="006E17D6" w:rsidP="00B03976">
      <w:pPr>
        <w:spacing w:line="360" w:lineRule="auto"/>
        <w:jc w:val="both"/>
        <w:rPr>
          <w:rFonts w:ascii="Arial" w:eastAsiaTheme="minorEastAsia" w:hAnsi="Arial" w:cs="Arial"/>
          <w:noProof/>
          <w:sz w:val="24"/>
        </w:rPr>
      </w:pPr>
      <w:r>
        <w:rPr>
          <w:rFonts w:ascii="Arial" w:eastAsiaTheme="minorEastAsia" w:hAnsi="Arial" w:cs="Arial"/>
          <w:noProof/>
          <w:sz w:val="24"/>
        </w:rPr>
        <w:drawing>
          <wp:anchor distT="0" distB="0" distL="114300" distR="114300" simplePos="0" relativeHeight="251766784" behindDoc="1" locked="0" layoutInCell="1" allowOverlap="1" wp14:anchorId="416AD4C9" wp14:editId="6CB6B306">
            <wp:simplePos x="0" y="0"/>
            <wp:positionH relativeFrom="margin">
              <wp:posOffset>1374775</wp:posOffset>
            </wp:positionH>
            <wp:positionV relativeFrom="paragraph">
              <wp:posOffset>1387564</wp:posOffset>
            </wp:positionV>
            <wp:extent cx="2935224" cy="2272431"/>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35224" cy="2272431"/>
                    </a:xfrm>
                    <a:prstGeom prst="rect">
                      <a:avLst/>
                    </a:prstGeom>
                    <a:noFill/>
                  </pic:spPr>
                </pic:pic>
              </a:graphicData>
            </a:graphic>
            <wp14:sizeRelH relativeFrom="margin">
              <wp14:pctWidth>0</wp14:pctWidth>
            </wp14:sizeRelH>
            <wp14:sizeRelV relativeFrom="margin">
              <wp14:pctHeight>0</wp14:pctHeight>
            </wp14:sizeRelV>
          </wp:anchor>
        </w:drawing>
      </w:r>
      <w:r w:rsidR="00B03976" w:rsidRPr="00B03976">
        <w:rPr>
          <w:rFonts w:ascii="Arial" w:eastAsiaTheme="minorEastAsia" w:hAnsi="Arial" w:cs="Arial"/>
          <w:noProof/>
          <w:sz w:val="24"/>
        </w:rPr>
        <w:t xml:space="preserve">EIS es una de las técnicas más efectivas e ideales para el estudio y caracterización de procesos electroquímicos que se llevan a cabo en una interfaz </w:t>
      </w:r>
      <w:r w:rsidR="00264E71">
        <w:rPr>
          <w:rFonts w:ascii="Arial" w:eastAsiaTheme="minorEastAsia" w:hAnsi="Arial" w:cs="Arial"/>
          <w:noProof/>
          <w:sz w:val="24"/>
        </w:rPr>
        <w:t xml:space="preserve">electrodo-disolución. </w:t>
      </w:r>
      <w:r w:rsidR="00B03976" w:rsidRPr="00B03976">
        <w:rPr>
          <w:rFonts w:ascii="Arial" w:eastAsiaTheme="minorEastAsia" w:hAnsi="Arial" w:cs="Arial"/>
          <w:noProof/>
          <w:sz w:val="24"/>
        </w:rPr>
        <w:t>El diagrama de Nyquist es la representación típica de un espectro de impedancia. La resistencia de transferencia de carga, (R</w:t>
      </w:r>
      <w:r w:rsidR="00B03976" w:rsidRPr="00B03976">
        <w:rPr>
          <w:rFonts w:ascii="Arial" w:eastAsiaTheme="minorEastAsia" w:hAnsi="Arial" w:cs="Arial"/>
          <w:noProof/>
          <w:sz w:val="24"/>
          <w:vertAlign w:val="subscript"/>
        </w:rPr>
        <w:t>ct</w:t>
      </w:r>
      <w:r w:rsidR="00B03976" w:rsidRPr="00B03976">
        <w:rPr>
          <w:rFonts w:ascii="Arial" w:eastAsiaTheme="minorEastAsia" w:hAnsi="Arial" w:cs="Arial"/>
          <w:noProof/>
          <w:sz w:val="24"/>
        </w:rPr>
        <w:t xml:space="preserve">), proporciona información para describir la cinética de este proceso </w:t>
      </w:r>
      <w:r w:rsidR="005F6317">
        <w:rPr>
          <w:rFonts w:ascii="Arial" w:eastAsiaTheme="minorEastAsia" w:hAnsi="Arial" w:cs="Arial"/>
          <w:noProof/>
          <w:sz w:val="24"/>
        </w:rPr>
        <w:fldChar w:fldCharType="begin" w:fldLock="1"/>
      </w:r>
      <w:r w:rsidR="00EE385A">
        <w:rPr>
          <w:rFonts w:ascii="Arial" w:eastAsiaTheme="minorEastAsia" w:hAnsi="Arial" w:cs="Arial"/>
          <w:noProof/>
          <w:sz w:val="24"/>
        </w:rPr>
        <w:instrText>ADDIN CSL_CITATION {"citationItems":[{"id":"ITEM-1","itemData":{"DOI":"10.1016/j.arabjc.2015.08.021","ISSN":"18785352","abstract":"A new sensor based on carbon paste electrode modified with Poly(1,8-diaminonaphthalene) and bismuth film (Bi-Poly1,8-DAN/CPE) was prepared and characterized with cyclic voltammetry and electrochemical impedance spectroscopy. The sensor was found to exhibit an electroactivity toward the sensing of lead using square wave voltammetry in acidic medium. Various operational parameters, such as concentration of Bi(III), square wave voltammetric parameters, deposition potential and deposition time were investigated. Under the optimized conditions, a linear range was achieved over concentration range from 0.5 μg L−1to 50 μg L−1, with a detection limit of 0.3 μg L−1offering a good repeatability and reproducibility. Finally, the Bi-Poly1,8-DAN/CPE was applied for the analysis of lead in water samples with satisfactory results.","author":[{"dropping-particle":"","family":"Salih","given":"Fatima Ezzahra","non-dropping-particle":"","parse-names":false,"suffix":""},{"dropping-particle":"","family":"Ouarzane","given":"Aicha","non-dropping-particle":"","parse-names":false,"suffix":""},{"dropping-particle":"","family":"Rhazi","given":"Mama","non-dropping-particle":"El","parse-names":false,"suffix":""}],"container-title":"Arabian Journal of Chemistry","id":"ITEM-1","issue":"5","issued":{"date-parts":[["2017"]]},"page":"596-603","publisher":"King Saud University","title":"Electrochemical detection of lead (II) at bismuth/Poly(1,8-diaminonaphthalene) modified carbon paste electrode","type":"article-journal","volume":"10"},"uris":["http://www.mendeley.com/documents/?uuid=a503f5ad-775e-427b-9441-15e3e4c7d515"]}],"mendeley":{"formattedCitation":"(Salih, Ouarzane, &amp; El Rhazi, 2017)","manualFormatting":"(Salih, Ouarzane y El Rhazi, 2017)","plainTextFormattedCitation":"(Salih, Ouarzane, &amp; El Rhazi, 2017)","previouslyFormattedCitation":"(Salih, Ouarzane, &amp; El Rhazi, 2017)"},"properties":{"noteIndex":0},"schema":"https://github.com/citation-style-language/schema/raw/master/csl-citation.json"}</w:instrText>
      </w:r>
      <w:r w:rsidR="005F6317">
        <w:rPr>
          <w:rFonts w:ascii="Arial" w:eastAsiaTheme="minorEastAsia" w:hAnsi="Arial" w:cs="Arial"/>
          <w:noProof/>
          <w:sz w:val="24"/>
        </w:rPr>
        <w:fldChar w:fldCharType="separate"/>
      </w:r>
      <w:r w:rsidR="002F4707" w:rsidRPr="002F4707">
        <w:rPr>
          <w:rFonts w:ascii="Arial" w:eastAsiaTheme="minorEastAsia" w:hAnsi="Arial" w:cs="Arial"/>
          <w:noProof/>
          <w:sz w:val="24"/>
        </w:rPr>
        <w:t>(Salih, Ouarzane</w:t>
      </w:r>
      <w:r w:rsidR="00EE385A">
        <w:rPr>
          <w:rFonts w:ascii="Arial" w:eastAsiaTheme="minorEastAsia" w:hAnsi="Arial" w:cs="Arial"/>
          <w:noProof/>
          <w:sz w:val="24"/>
        </w:rPr>
        <w:t xml:space="preserve"> y</w:t>
      </w:r>
      <w:r w:rsidR="002F4707" w:rsidRPr="002F4707">
        <w:rPr>
          <w:rFonts w:ascii="Arial" w:eastAsiaTheme="minorEastAsia" w:hAnsi="Arial" w:cs="Arial"/>
          <w:noProof/>
          <w:sz w:val="24"/>
        </w:rPr>
        <w:t xml:space="preserve"> El Rhazi, 2017)</w:t>
      </w:r>
      <w:r w:rsidR="005F6317">
        <w:rPr>
          <w:rFonts w:ascii="Arial" w:eastAsiaTheme="minorEastAsia" w:hAnsi="Arial" w:cs="Arial"/>
          <w:noProof/>
          <w:sz w:val="24"/>
        </w:rPr>
        <w:fldChar w:fldCharType="end"/>
      </w:r>
      <w:r w:rsidR="005F6317">
        <w:rPr>
          <w:rFonts w:ascii="Arial" w:eastAsiaTheme="minorEastAsia" w:hAnsi="Arial" w:cs="Arial"/>
          <w:noProof/>
          <w:sz w:val="24"/>
        </w:rPr>
        <w:t>.</w:t>
      </w:r>
    </w:p>
    <w:p w14:paraId="151AF94E" w14:textId="22A8217B" w:rsidR="00737DD3" w:rsidRDefault="00264E71" w:rsidP="00B03976">
      <w:pPr>
        <w:spacing w:line="360" w:lineRule="auto"/>
        <w:jc w:val="both"/>
        <w:rPr>
          <w:rFonts w:ascii="Arial" w:eastAsiaTheme="minorEastAsia" w:hAnsi="Arial" w:cs="Arial"/>
          <w:noProof/>
          <w:sz w:val="24"/>
        </w:rPr>
      </w:pPr>
      <w:r>
        <w:rPr>
          <w:rFonts w:ascii="Arial" w:eastAsiaTheme="minorEastAsia" w:hAnsi="Arial" w:cs="Arial"/>
          <w:noProof/>
          <w:sz w:val="24"/>
        </w:rPr>
        <w:tab/>
      </w:r>
    </w:p>
    <w:p w14:paraId="57433823" w14:textId="77777777" w:rsidR="00737DD3" w:rsidRDefault="00737DD3" w:rsidP="00B03976">
      <w:pPr>
        <w:spacing w:line="360" w:lineRule="auto"/>
        <w:jc w:val="both"/>
        <w:rPr>
          <w:rFonts w:ascii="Arial" w:eastAsiaTheme="minorEastAsia" w:hAnsi="Arial" w:cs="Arial"/>
          <w:noProof/>
          <w:sz w:val="24"/>
        </w:rPr>
      </w:pPr>
    </w:p>
    <w:p w14:paraId="0B58754A" w14:textId="77777777" w:rsidR="00737DD3" w:rsidRDefault="00737DD3" w:rsidP="00B03976">
      <w:pPr>
        <w:spacing w:line="360" w:lineRule="auto"/>
        <w:jc w:val="both"/>
        <w:rPr>
          <w:rFonts w:ascii="Arial" w:eastAsiaTheme="minorEastAsia" w:hAnsi="Arial" w:cs="Arial"/>
          <w:noProof/>
          <w:sz w:val="24"/>
        </w:rPr>
      </w:pPr>
    </w:p>
    <w:p w14:paraId="7C703B83" w14:textId="74ECF33E" w:rsidR="00737DD3" w:rsidRDefault="00737DD3" w:rsidP="00B03976">
      <w:pPr>
        <w:spacing w:line="360" w:lineRule="auto"/>
        <w:jc w:val="both"/>
        <w:rPr>
          <w:rFonts w:ascii="Arial" w:eastAsiaTheme="minorEastAsia" w:hAnsi="Arial" w:cs="Arial"/>
          <w:noProof/>
          <w:sz w:val="24"/>
        </w:rPr>
      </w:pPr>
    </w:p>
    <w:p w14:paraId="2956EE0D" w14:textId="6A87BFF1" w:rsidR="00737DD3" w:rsidRPr="00D5314F" w:rsidRDefault="006E17D6" w:rsidP="00B03976">
      <w:pPr>
        <w:spacing w:line="360" w:lineRule="auto"/>
        <w:jc w:val="both"/>
        <w:rPr>
          <w:rFonts w:ascii="Arial" w:eastAsiaTheme="minorEastAsia" w:hAnsi="Arial" w:cs="Arial"/>
          <w:noProof/>
          <w:sz w:val="36"/>
          <w:szCs w:val="32"/>
        </w:rPr>
      </w:pPr>
      <w:r>
        <w:rPr>
          <w:rFonts w:ascii="Arial" w:eastAsiaTheme="minorEastAsia" w:hAnsi="Arial" w:cs="Arial"/>
          <w:noProof/>
          <w:sz w:val="24"/>
        </w:rPr>
        <w:br/>
      </w:r>
    </w:p>
    <w:p w14:paraId="55641CDB" w14:textId="53F4F3E8" w:rsidR="00737DD3" w:rsidRDefault="00737DD3" w:rsidP="00B03976">
      <w:pPr>
        <w:spacing w:line="360" w:lineRule="auto"/>
        <w:jc w:val="both"/>
        <w:rPr>
          <w:rFonts w:ascii="Arial" w:eastAsiaTheme="minorEastAsia" w:hAnsi="Arial" w:cs="Arial"/>
          <w:noProof/>
          <w:sz w:val="24"/>
        </w:rPr>
      </w:pPr>
      <w:r w:rsidRPr="00264E71">
        <w:rPr>
          <w:rFonts w:ascii="Arial" w:hAnsi="Arial" w:cs="Arial"/>
          <w:b/>
          <w:sz w:val="20"/>
          <w:szCs w:val="18"/>
        </w:rPr>
        <w:t>Figura 3.</w:t>
      </w:r>
      <w:r w:rsidRPr="00264E71">
        <w:rPr>
          <w:rFonts w:ascii="Arial" w:hAnsi="Arial" w:cs="Arial"/>
          <w:bCs/>
          <w:sz w:val="20"/>
          <w:szCs w:val="18"/>
        </w:rPr>
        <w:t xml:space="preserve"> Resultados de impedancia para diferentes condiciones de modificación superficial del electrodo</w:t>
      </w:r>
      <w:r>
        <w:rPr>
          <w:rFonts w:ascii="Arial" w:hAnsi="Arial" w:cs="Arial"/>
          <w:bCs/>
          <w:sz w:val="20"/>
          <w:szCs w:val="18"/>
        </w:rPr>
        <w:t xml:space="preserve">, en </w:t>
      </w:r>
      <w:bookmarkStart w:id="0" w:name="_Hlk18873224"/>
      <w:bookmarkStart w:id="1" w:name="_Hlk18873368"/>
      <w:r w:rsidRPr="00264E71">
        <w:rPr>
          <w:rFonts w:ascii="Arial" w:hAnsi="Arial" w:cs="Arial"/>
          <w:bCs/>
          <w:sz w:val="20"/>
          <w:szCs w:val="18"/>
        </w:rPr>
        <w:t>[</w:t>
      </w:r>
      <w:proofErr w:type="gramStart"/>
      <w:r w:rsidRPr="00264E71">
        <w:rPr>
          <w:rFonts w:ascii="Arial" w:hAnsi="Arial" w:cs="Arial"/>
          <w:bCs/>
          <w:sz w:val="20"/>
          <w:szCs w:val="18"/>
        </w:rPr>
        <w:t>Fe(</w:t>
      </w:r>
      <w:proofErr w:type="gramEnd"/>
      <w:r w:rsidRPr="00264E71">
        <w:rPr>
          <w:rFonts w:ascii="Arial" w:hAnsi="Arial" w:cs="Arial"/>
          <w:bCs/>
          <w:sz w:val="20"/>
          <w:szCs w:val="18"/>
        </w:rPr>
        <w:t>CN)</w:t>
      </w:r>
      <w:r w:rsidRPr="00264E71">
        <w:rPr>
          <w:rFonts w:ascii="Arial" w:hAnsi="Arial" w:cs="Arial"/>
          <w:bCs/>
          <w:sz w:val="20"/>
          <w:szCs w:val="18"/>
          <w:vertAlign w:val="subscript"/>
        </w:rPr>
        <w:t>6</w:t>
      </w:r>
      <w:r w:rsidRPr="00264E71">
        <w:rPr>
          <w:rFonts w:ascii="Arial" w:hAnsi="Arial" w:cs="Arial"/>
          <w:bCs/>
          <w:sz w:val="20"/>
          <w:szCs w:val="18"/>
        </w:rPr>
        <w:t>]</w:t>
      </w:r>
      <w:r w:rsidRPr="00264E71">
        <w:rPr>
          <w:rFonts w:ascii="Arial" w:hAnsi="Arial" w:cs="Arial"/>
          <w:bCs/>
          <w:sz w:val="20"/>
          <w:szCs w:val="18"/>
          <w:vertAlign w:val="superscript"/>
        </w:rPr>
        <w:t>3-/4-</w:t>
      </w:r>
      <w:bookmarkEnd w:id="0"/>
      <w:r w:rsidRPr="00264E71">
        <w:rPr>
          <w:rFonts w:ascii="Arial" w:hAnsi="Arial" w:cs="Arial"/>
          <w:bCs/>
          <w:sz w:val="20"/>
          <w:szCs w:val="18"/>
          <w:vertAlign w:val="superscript"/>
        </w:rPr>
        <w:t xml:space="preserve"> </w:t>
      </w:r>
      <w:bookmarkEnd w:id="1"/>
      <w:r w:rsidRPr="00264E71">
        <w:rPr>
          <w:rFonts w:ascii="Arial" w:hAnsi="Arial" w:cs="Arial"/>
          <w:bCs/>
          <w:sz w:val="20"/>
          <w:szCs w:val="18"/>
        </w:rPr>
        <w:t xml:space="preserve">1 mM </w:t>
      </w:r>
      <w:r>
        <w:rPr>
          <w:rFonts w:ascii="Arial" w:hAnsi="Arial" w:cs="Arial"/>
          <w:bCs/>
          <w:sz w:val="20"/>
          <w:szCs w:val="18"/>
        </w:rPr>
        <w:t xml:space="preserve">+ </w:t>
      </w:r>
      <w:r w:rsidRPr="00264E71">
        <w:rPr>
          <w:rFonts w:ascii="Arial" w:hAnsi="Arial" w:cs="Arial"/>
          <w:bCs/>
          <w:sz w:val="20"/>
          <w:szCs w:val="18"/>
        </w:rPr>
        <w:t>KCl 0.1 M.</w:t>
      </w:r>
      <w:r>
        <w:rPr>
          <w:rFonts w:ascii="Arial" w:hAnsi="Arial" w:cs="Arial"/>
          <w:bCs/>
          <w:sz w:val="20"/>
          <w:szCs w:val="18"/>
        </w:rPr>
        <w:t xml:space="preserve"> Insertado el circuito de Randles.</w:t>
      </w:r>
    </w:p>
    <w:p w14:paraId="2FCE1D8E" w14:textId="6C078709" w:rsidR="006E17D6" w:rsidRPr="00737DD3" w:rsidRDefault="00264E71" w:rsidP="00737DD3">
      <w:pPr>
        <w:spacing w:line="360" w:lineRule="auto"/>
        <w:jc w:val="both"/>
        <w:rPr>
          <w:rFonts w:ascii="Arial" w:eastAsiaTheme="minorEastAsia" w:hAnsi="Arial" w:cs="Arial"/>
          <w:noProof/>
          <w:sz w:val="24"/>
        </w:rPr>
      </w:pPr>
      <w:r w:rsidRPr="00264E71">
        <w:rPr>
          <w:rFonts w:ascii="Arial" w:eastAsiaTheme="minorEastAsia" w:hAnsi="Arial" w:cs="Arial"/>
          <w:noProof/>
          <w:sz w:val="24"/>
        </w:rPr>
        <w:t>El diagrama de Nyquist se muestra en la Fig</w:t>
      </w:r>
      <w:r>
        <w:rPr>
          <w:rFonts w:ascii="Arial" w:eastAsiaTheme="minorEastAsia" w:hAnsi="Arial" w:cs="Arial"/>
          <w:noProof/>
          <w:sz w:val="24"/>
        </w:rPr>
        <w:t>ura</w:t>
      </w:r>
      <w:r w:rsidRPr="00264E71">
        <w:rPr>
          <w:rFonts w:ascii="Arial" w:eastAsiaTheme="minorEastAsia" w:hAnsi="Arial" w:cs="Arial"/>
          <w:noProof/>
          <w:sz w:val="24"/>
        </w:rPr>
        <w:t xml:space="preserve"> 3 del </w:t>
      </w:r>
      <w:r w:rsidR="0076160D">
        <w:rPr>
          <w:rFonts w:ascii="Arial" w:eastAsiaTheme="minorEastAsia" w:hAnsi="Arial" w:cs="Arial"/>
          <w:noProof/>
          <w:sz w:val="24"/>
        </w:rPr>
        <w:t>electrodo desnudo y modificado</w:t>
      </w:r>
      <w:r w:rsidR="00D5314F">
        <w:rPr>
          <w:rFonts w:ascii="Arial" w:eastAsiaTheme="minorEastAsia" w:hAnsi="Arial" w:cs="Arial"/>
          <w:noProof/>
          <w:sz w:val="24"/>
        </w:rPr>
        <w:t xml:space="preserve">. </w:t>
      </w:r>
      <w:r w:rsidRPr="00264E71">
        <w:rPr>
          <w:rFonts w:ascii="Arial" w:eastAsiaTheme="minorEastAsia" w:hAnsi="Arial" w:cs="Arial"/>
          <w:noProof/>
          <w:sz w:val="24"/>
        </w:rPr>
        <w:t xml:space="preserve">En la Tabla 1, se muestran los valores </w:t>
      </w:r>
      <w:r w:rsidR="0076160D">
        <w:rPr>
          <w:rFonts w:ascii="Arial" w:eastAsiaTheme="minorEastAsia" w:hAnsi="Arial" w:cs="Arial"/>
          <w:noProof/>
          <w:sz w:val="24"/>
        </w:rPr>
        <w:t>normalizados</w:t>
      </w:r>
      <w:r w:rsidRPr="00264E71">
        <w:rPr>
          <w:rFonts w:ascii="Arial" w:eastAsiaTheme="minorEastAsia" w:hAnsi="Arial" w:cs="Arial"/>
          <w:noProof/>
          <w:sz w:val="24"/>
        </w:rPr>
        <w:t xml:space="preserve"> para cada condición de electrodo.</w:t>
      </w:r>
      <w:r w:rsidR="0076160D">
        <w:rPr>
          <w:rFonts w:ascii="Arial" w:eastAsiaTheme="minorEastAsia" w:hAnsi="Arial" w:cs="Arial"/>
          <w:noProof/>
          <w:sz w:val="24"/>
        </w:rPr>
        <w:t xml:space="preserve"> L</w:t>
      </w:r>
      <w:r w:rsidR="00D5314F">
        <w:rPr>
          <w:rFonts w:ascii="Arial" w:eastAsiaTheme="minorEastAsia" w:hAnsi="Arial" w:cs="Arial"/>
          <w:noProof/>
          <w:sz w:val="24"/>
        </w:rPr>
        <w:t xml:space="preserve">a </w:t>
      </w:r>
      <w:r w:rsidRPr="00264E71">
        <w:rPr>
          <w:rFonts w:ascii="Arial" w:eastAsiaTheme="minorEastAsia" w:hAnsi="Arial" w:cs="Arial"/>
          <w:noProof/>
          <w:sz w:val="24"/>
        </w:rPr>
        <w:t>R</w:t>
      </w:r>
      <w:r w:rsidRPr="00264E71">
        <w:rPr>
          <w:rFonts w:ascii="Arial" w:eastAsiaTheme="minorEastAsia" w:hAnsi="Arial" w:cs="Arial"/>
          <w:noProof/>
          <w:sz w:val="24"/>
          <w:vertAlign w:val="subscript"/>
        </w:rPr>
        <w:t>ct</w:t>
      </w:r>
      <w:r w:rsidRPr="00264E71">
        <w:rPr>
          <w:rFonts w:ascii="Arial" w:eastAsiaTheme="minorEastAsia" w:hAnsi="Arial" w:cs="Arial"/>
          <w:noProof/>
          <w:sz w:val="24"/>
        </w:rPr>
        <w:t xml:space="preserve"> disminuyó aproximadamente </w:t>
      </w:r>
      <w:r w:rsidR="0076160D">
        <w:rPr>
          <w:rFonts w:ascii="Arial" w:eastAsiaTheme="minorEastAsia" w:hAnsi="Arial" w:cs="Arial"/>
          <w:noProof/>
          <w:sz w:val="24"/>
        </w:rPr>
        <w:t>3</w:t>
      </w:r>
      <w:r w:rsidRPr="00264E71">
        <w:rPr>
          <w:rFonts w:ascii="Arial" w:eastAsiaTheme="minorEastAsia" w:hAnsi="Arial" w:cs="Arial"/>
          <w:noProof/>
          <w:sz w:val="24"/>
        </w:rPr>
        <w:t xml:space="preserve"> veces</w:t>
      </w:r>
      <w:r w:rsidR="0076160D">
        <w:rPr>
          <w:rFonts w:ascii="Arial" w:eastAsiaTheme="minorEastAsia" w:hAnsi="Arial" w:cs="Arial"/>
          <w:noProof/>
          <w:sz w:val="24"/>
        </w:rPr>
        <w:t>, indicando una cinetica de transferencia electrónica más efectiva. Analogamente,</w:t>
      </w:r>
      <w:r w:rsidRPr="00264E71">
        <w:rPr>
          <w:rFonts w:ascii="Arial" w:eastAsiaTheme="minorEastAsia" w:hAnsi="Arial" w:cs="Arial"/>
          <w:noProof/>
          <w:sz w:val="24"/>
        </w:rPr>
        <w:t xml:space="preserve"> aument</w:t>
      </w:r>
      <w:r w:rsidR="0076160D">
        <w:rPr>
          <w:rFonts w:ascii="Arial" w:eastAsiaTheme="minorEastAsia" w:hAnsi="Arial" w:cs="Arial"/>
          <w:noProof/>
          <w:sz w:val="24"/>
        </w:rPr>
        <w:t>ó</w:t>
      </w:r>
      <w:r w:rsidRPr="00264E71">
        <w:rPr>
          <w:rFonts w:ascii="Arial" w:eastAsiaTheme="minorEastAsia" w:hAnsi="Arial" w:cs="Arial"/>
          <w:noProof/>
          <w:sz w:val="24"/>
        </w:rPr>
        <w:t xml:space="preserve"> significativ</w:t>
      </w:r>
      <w:r w:rsidR="0076160D">
        <w:rPr>
          <w:rFonts w:ascii="Arial" w:eastAsiaTheme="minorEastAsia" w:hAnsi="Arial" w:cs="Arial"/>
          <w:noProof/>
          <w:sz w:val="24"/>
        </w:rPr>
        <w:t xml:space="preserve">amente </w:t>
      </w:r>
      <w:r>
        <w:rPr>
          <w:rFonts w:ascii="Arial" w:eastAsiaTheme="minorEastAsia" w:hAnsi="Arial" w:cs="Arial"/>
          <w:noProof/>
          <w:sz w:val="24"/>
        </w:rPr>
        <w:t>la capacitancia de la doble capa (</w:t>
      </w:r>
      <w:r w:rsidRPr="00264E71">
        <w:rPr>
          <w:rFonts w:ascii="Arial" w:eastAsiaTheme="minorEastAsia" w:hAnsi="Arial" w:cs="Arial"/>
          <w:noProof/>
          <w:sz w:val="24"/>
        </w:rPr>
        <w:t>C</w:t>
      </w:r>
      <w:r w:rsidRPr="00264E71">
        <w:rPr>
          <w:rFonts w:ascii="Arial" w:eastAsiaTheme="minorEastAsia" w:hAnsi="Arial" w:cs="Arial"/>
          <w:noProof/>
          <w:sz w:val="24"/>
          <w:vertAlign w:val="subscript"/>
        </w:rPr>
        <w:t>dl</w:t>
      </w:r>
      <w:r>
        <w:rPr>
          <w:rFonts w:ascii="Arial" w:eastAsiaTheme="minorEastAsia" w:hAnsi="Arial" w:cs="Arial"/>
          <w:noProof/>
          <w:sz w:val="24"/>
        </w:rPr>
        <w:t>)</w:t>
      </w:r>
      <w:r w:rsidRPr="00264E71">
        <w:rPr>
          <w:rFonts w:ascii="Arial" w:eastAsiaTheme="minorEastAsia" w:hAnsi="Arial" w:cs="Arial"/>
          <w:noProof/>
          <w:sz w:val="24"/>
        </w:rPr>
        <w:t xml:space="preserve">. Esto se atribuyó al aumento en el área de trabajo y acumulación de cargas </w:t>
      </w:r>
      <w:r w:rsidR="0076160D">
        <w:rPr>
          <w:rFonts w:ascii="Arial" w:eastAsiaTheme="minorEastAsia" w:hAnsi="Arial" w:cs="Arial"/>
          <w:noProof/>
          <w:sz w:val="24"/>
        </w:rPr>
        <w:t>en la interfase</w:t>
      </w:r>
      <w:r w:rsidRPr="00264E71">
        <w:rPr>
          <w:rFonts w:ascii="Arial" w:eastAsiaTheme="minorEastAsia" w:hAnsi="Arial" w:cs="Arial"/>
          <w:noProof/>
          <w:sz w:val="24"/>
        </w:rPr>
        <w:t>. Resultados similares fueron reportados por</w:t>
      </w:r>
      <w:r w:rsidR="005F6317">
        <w:rPr>
          <w:rFonts w:ascii="Arial" w:eastAsiaTheme="minorEastAsia" w:hAnsi="Arial" w:cs="Arial"/>
          <w:noProof/>
          <w:sz w:val="24"/>
        </w:rPr>
        <w:t xml:space="preserve"> </w:t>
      </w:r>
      <w:r w:rsidR="002F4707">
        <w:rPr>
          <w:rFonts w:ascii="Arial" w:eastAsiaTheme="minorEastAsia" w:hAnsi="Arial" w:cs="Arial"/>
          <w:noProof/>
          <w:sz w:val="24"/>
        </w:rPr>
        <w:t>Galicia, Li y Castaneda (2014)</w:t>
      </w:r>
      <w:r w:rsidRPr="00264E71">
        <w:rPr>
          <w:rFonts w:ascii="Arial" w:eastAsiaTheme="minorEastAsia" w:hAnsi="Arial" w:cs="Arial"/>
          <w:noProof/>
          <w:sz w:val="24"/>
        </w:rPr>
        <w:t>, en condiciones estáticas y flujo laminar</w:t>
      </w:r>
      <w:r w:rsidR="00737DD3">
        <w:rPr>
          <w:rFonts w:ascii="Arial" w:eastAsiaTheme="minorEastAsia" w:hAnsi="Arial" w:cs="Arial"/>
          <w:noProof/>
          <w:sz w:val="24"/>
        </w:rPr>
        <w:t>.</w:t>
      </w:r>
    </w:p>
    <w:tbl>
      <w:tblPr>
        <w:tblStyle w:val="Tablaconcuadrcula"/>
        <w:tblpPr w:leftFromText="141" w:rightFromText="141" w:vertAnchor="text" w:horzAnchor="margin" w:tblpY="34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559"/>
        <w:gridCol w:w="1843"/>
        <w:gridCol w:w="1545"/>
        <w:gridCol w:w="1715"/>
      </w:tblGrid>
      <w:tr w:rsidR="00264E71" w14:paraId="5EDC90AA" w14:textId="77777777" w:rsidTr="00264E71">
        <w:tc>
          <w:tcPr>
            <w:tcW w:w="2127" w:type="dxa"/>
            <w:vMerge w:val="restart"/>
            <w:tcBorders>
              <w:top w:val="single" w:sz="4" w:space="0" w:color="auto"/>
              <w:bottom w:val="single" w:sz="4" w:space="0" w:color="auto"/>
            </w:tcBorders>
            <w:vAlign w:val="center"/>
          </w:tcPr>
          <w:p w14:paraId="67929488" w14:textId="49E7F983" w:rsidR="00264E71" w:rsidRPr="005C44C1" w:rsidRDefault="00264E71" w:rsidP="00264E71">
            <w:pPr>
              <w:jc w:val="center"/>
              <w:rPr>
                <w:rFonts w:ascii="Arial" w:hAnsi="Arial" w:cs="Arial"/>
                <w:szCs w:val="24"/>
              </w:rPr>
            </w:pPr>
            <w:r w:rsidRPr="005C44C1">
              <w:rPr>
                <w:rFonts w:ascii="Arial" w:hAnsi="Arial" w:cs="Arial"/>
                <w:szCs w:val="24"/>
              </w:rPr>
              <w:t>Electrodo</w:t>
            </w:r>
          </w:p>
        </w:tc>
        <w:tc>
          <w:tcPr>
            <w:tcW w:w="6662" w:type="dxa"/>
            <w:gridSpan w:val="4"/>
            <w:tcBorders>
              <w:top w:val="single" w:sz="4" w:space="0" w:color="auto"/>
              <w:bottom w:val="single" w:sz="4" w:space="0" w:color="auto"/>
            </w:tcBorders>
          </w:tcPr>
          <w:p w14:paraId="7D591DE3" w14:textId="584FCB81" w:rsidR="00264E71" w:rsidRPr="005C44C1" w:rsidRDefault="00264E71" w:rsidP="00264E71">
            <w:pPr>
              <w:jc w:val="center"/>
              <w:rPr>
                <w:rFonts w:ascii="Arial" w:hAnsi="Arial" w:cs="Arial"/>
                <w:sz w:val="24"/>
                <w:szCs w:val="24"/>
              </w:rPr>
            </w:pPr>
            <w:r w:rsidRPr="005C44C1">
              <w:rPr>
                <w:rFonts w:ascii="Arial" w:hAnsi="Arial" w:cs="Arial"/>
                <w:sz w:val="24"/>
                <w:szCs w:val="24"/>
              </w:rPr>
              <w:t>EIS parámetros</w:t>
            </w:r>
          </w:p>
        </w:tc>
      </w:tr>
      <w:tr w:rsidR="00264E71" w14:paraId="03F3171C" w14:textId="77777777" w:rsidTr="00F75B71">
        <w:tc>
          <w:tcPr>
            <w:tcW w:w="2127" w:type="dxa"/>
            <w:vMerge/>
            <w:tcBorders>
              <w:top w:val="nil"/>
              <w:bottom w:val="single" w:sz="4" w:space="0" w:color="auto"/>
            </w:tcBorders>
          </w:tcPr>
          <w:p w14:paraId="4EA6A5B2" w14:textId="77777777" w:rsidR="00264E71" w:rsidRPr="005C44C1" w:rsidRDefault="00264E71" w:rsidP="00264E71">
            <w:pPr>
              <w:jc w:val="both"/>
              <w:rPr>
                <w:rFonts w:ascii="Arial" w:hAnsi="Arial" w:cs="Arial"/>
                <w:szCs w:val="24"/>
              </w:rPr>
            </w:pPr>
          </w:p>
        </w:tc>
        <w:tc>
          <w:tcPr>
            <w:tcW w:w="1559" w:type="dxa"/>
            <w:tcBorders>
              <w:top w:val="single" w:sz="4" w:space="0" w:color="auto"/>
              <w:bottom w:val="single" w:sz="4" w:space="0" w:color="auto"/>
            </w:tcBorders>
          </w:tcPr>
          <w:p w14:paraId="6A2F72A1" w14:textId="77777777" w:rsidR="00264E71" w:rsidRPr="005C44C1" w:rsidRDefault="00264E71" w:rsidP="00264E71">
            <w:pPr>
              <w:rPr>
                <w:rFonts w:ascii="Arial" w:hAnsi="Arial" w:cs="Arial"/>
                <w:szCs w:val="24"/>
              </w:rPr>
            </w:pPr>
            <w:proofErr w:type="spellStart"/>
            <w:r w:rsidRPr="005C44C1">
              <w:rPr>
                <w:rFonts w:ascii="Arial" w:hAnsi="Arial" w:cs="Arial"/>
                <w:sz w:val="24"/>
                <w:szCs w:val="24"/>
              </w:rPr>
              <w:t>Rs</w:t>
            </w:r>
            <w:proofErr w:type="spellEnd"/>
            <w:r w:rsidRPr="005C44C1">
              <w:rPr>
                <w:rFonts w:ascii="Arial" w:hAnsi="Arial" w:cs="Arial"/>
                <w:sz w:val="24"/>
                <w:szCs w:val="24"/>
              </w:rPr>
              <w:t xml:space="preserve"> (Ω cm</w:t>
            </w:r>
            <w:r w:rsidRPr="005C44C1">
              <w:rPr>
                <w:rFonts w:ascii="Arial" w:hAnsi="Arial" w:cs="Arial"/>
                <w:sz w:val="24"/>
                <w:szCs w:val="24"/>
                <w:vertAlign w:val="superscript"/>
              </w:rPr>
              <w:t>2</w:t>
            </w:r>
            <w:r w:rsidRPr="005C44C1">
              <w:rPr>
                <w:rFonts w:ascii="Arial" w:hAnsi="Arial" w:cs="Arial"/>
                <w:sz w:val="24"/>
                <w:szCs w:val="24"/>
              </w:rPr>
              <w:t>)</w:t>
            </w:r>
          </w:p>
        </w:tc>
        <w:tc>
          <w:tcPr>
            <w:tcW w:w="1843" w:type="dxa"/>
            <w:tcBorders>
              <w:top w:val="single" w:sz="4" w:space="0" w:color="auto"/>
              <w:bottom w:val="single" w:sz="4" w:space="0" w:color="auto"/>
            </w:tcBorders>
          </w:tcPr>
          <w:p w14:paraId="394D89F1" w14:textId="42D14CA6" w:rsidR="00264E71" w:rsidRPr="005C44C1" w:rsidRDefault="00264E71" w:rsidP="00264E71">
            <w:pPr>
              <w:rPr>
                <w:rFonts w:ascii="Arial" w:hAnsi="Arial" w:cs="Arial"/>
                <w:szCs w:val="24"/>
              </w:rPr>
            </w:pPr>
            <w:r w:rsidRPr="005C44C1">
              <w:rPr>
                <w:rFonts w:ascii="Arial" w:hAnsi="Arial" w:cs="Arial"/>
                <w:sz w:val="24"/>
              </w:rPr>
              <w:t>R</w:t>
            </w:r>
            <w:r w:rsidRPr="005C44C1">
              <w:rPr>
                <w:rFonts w:ascii="Arial" w:hAnsi="Arial" w:cs="Arial"/>
                <w:sz w:val="24"/>
                <w:vertAlign w:val="subscript"/>
              </w:rPr>
              <w:t xml:space="preserve">ct </w:t>
            </w:r>
            <w:r w:rsidRPr="005C44C1">
              <w:rPr>
                <w:rFonts w:ascii="Arial" w:hAnsi="Arial" w:cs="Arial"/>
                <w:sz w:val="24"/>
              </w:rPr>
              <w:t>(Ω cm</w:t>
            </w:r>
            <w:r w:rsidRPr="005C44C1">
              <w:rPr>
                <w:rFonts w:ascii="Arial" w:hAnsi="Arial" w:cs="Arial"/>
                <w:sz w:val="24"/>
                <w:vertAlign w:val="superscript"/>
              </w:rPr>
              <w:t>2</w:t>
            </w:r>
            <w:r w:rsidRPr="005C44C1">
              <w:rPr>
                <w:rFonts w:ascii="Arial" w:hAnsi="Arial" w:cs="Arial"/>
                <w:sz w:val="24"/>
              </w:rPr>
              <w:t>)</w:t>
            </w:r>
          </w:p>
        </w:tc>
        <w:tc>
          <w:tcPr>
            <w:tcW w:w="1545" w:type="dxa"/>
            <w:tcBorders>
              <w:top w:val="single" w:sz="4" w:space="0" w:color="auto"/>
              <w:bottom w:val="single" w:sz="4" w:space="0" w:color="auto"/>
            </w:tcBorders>
          </w:tcPr>
          <w:p w14:paraId="6EB1BB43" w14:textId="77777777" w:rsidR="00264E71" w:rsidRPr="005C44C1" w:rsidRDefault="00264E71" w:rsidP="00264E71">
            <w:pPr>
              <w:rPr>
                <w:rFonts w:ascii="Arial" w:hAnsi="Arial" w:cs="Arial"/>
                <w:sz w:val="24"/>
                <w:szCs w:val="24"/>
              </w:rPr>
            </w:pPr>
            <w:proofErr w:type="spellStart"/>
            <w:r w:rsidRPr="005C44C1">
              <w:rPr>
                <w:rFonts w:ascii="Arial" w:hAnsi="Arial" w:cs="Arial"/>
                <w:sz w:val="24"/>
              </w:rPr>
              <w:t>C</w:t>
            </w:r>
            <w:r w:rsidRPr="005C44C1">
              <w:rPr>
                <w:rFonts w:ascii="Arial" w:hAnsi="Arial" w:cs="Arial"/>
                <w:sz w:val="24"/>
                <w:vertAlign w:val="subscript"/>
              </w:rPr>
              <w:t>dl</w:t>
            </w:r>
            <w:proofErr w:type="spellEnd"/>
            <w:r w:rsidRPr="005C44C1">
              <w:rPr>
                <w:rFonts w:ascii="Arial" w:hAnsi="Arial" w:cs="Arial"/>
                <w:sz w:val="24"/>
              </w:rPr>
              <w:t xml:space="preserve"> (μF)</w:t>
            </w:r>
          </w:p>
        </w:tc>
        <w:tc>
          <w:tcPr>
            <w:tcW w:w="1715" w:type="dxa"/>
            <w:tcBorders>
              <w:top w:val="single" w:sz="4" w:space="0" w:color="auto"/>
              <w:bottom w:val="single" w:sz="4" w:space="0" w:color="auto"/>
            </w:tcBorders>
          </w:tcPr>
          <w:p w14:paraId="3369FBF1" w14:textId="77777777" w:rsidR="00264E71" w:rsidRPr="005C44C1" w:rsidRDefault="00264E71" w:rsidP="00264E71">
            <w:pPr>
              <w:rPr>
                <w:rFonts w:ascii="Arial" w:hAnsi="Arial" w:cs="Arial"/>
                <w:sz w:val="24"/>
                <w:szCs w:val="24"/>
              </w:rPr>
            </w:pPr>
            <w:r w:rsidRPr="005C44C1">
              <w:rPr>
                <w:rFonts w:ascii="Arial" w:hAnsi="Arial" w:cs="Arial"/>
                <w:sz w:val="24"/>
              </w:rPr>
              <w:t>W</w:t>
            </w:r>
            <w:r w:rsidRPr="005C44C1">
              <w:rPr>
                <w:rFonts w:ascii="Arial" w:hAnsi="Arial" w:cs="Arial"/>
                <w:sz w:val="24"/>
                <w:vertAlign w:val="subscript"/>
              </w:rPr>
              <w:t>Z</w:t>
            </w:r>
            <w:r w:rsidRPr="005C44C1">
              <w:rPr>
                <w:rFonts w:ascii="Arial" w:hAnsi="Arial" w:cs="Arial"/>
                <w:sz w:val="24"/>
              </w:rPr>
              <w:t xml:space="preserve"> (μΩ</w:t>
            </w:r>
            <w:r w:rsidRPr="005C44C1">
              <w:rPr>
                <w:rFonts w:ascii="Arial" w:hAnsi="Arial" w:cs="Arial"/>
                <w:sz w:val="24"/>
                <w:vertAlign w:val="superscript"/>
              </w:rPr>
              <w:t>2</w:t>
            </w:r>
            <w:r w:rsidRPr="005C44C1">
              <w:rPr>
                <w:rFonts w:ascii="Arial" w:hAnsi="Arial" w:cs="Arial"/>
                <w:sz w:val="24"/>
              </w:rPr>
              <w:t xml:space="preserve"> Hz)</w:t>
            </w:r>
          </w:p>
        </w:tc>
      </w:tr>
      <w:tr w:rsidR="00264E71" w14:paraId="2B2DE881" w14:textId="77777777" w:rsidTr="00F75B71">
        <w:tc>
          <w:tcPr>
            <w:tcW w:w="2127" w:type="dxa"/>
            <w:tcBorders>
              <w:top w:val="single" w:sz="4" w:space="0" w:color="auto"/>
            </w:tcBorders>
          </w:tcPr>
          <w:p w14:paraId="1FCA3662" w14:textId="77777777" w:rsidR="00264E71" w:rsidRPr="005C44C1" w:rsidRDefault="00264E71" w:rsidP="00264E71">
            <w:pPr>
              <w:jc w:val="both"/>
              <w:rPr>
                <w:rFonts w:ascii="Arial" w:hAnsi="Arial" w:cs="Arial"/>
                <w:szCs w:val="24"/>
              </w:rPr>
            </w:pPr>
            <w:r w:rsidRPr="005C44C1">
              <w:rPr>
                <w:rFonts w:ascii="Arial" w:hAnsi="Arial" w:cs="Arial"/>
                <w:szCs w:val="24"/>
              </w:rPr>
              <w:t xml:space="preserve">GC </w:t>
            </w:r>
            <w:proofErr w:type="spellStart"/>
            <w:r w:rsidRPr="005C44C1">
              <w:rPr>
                <w:rFonts w:ascii="Arial" w:hAnsi="Arial" w:cs="Arial"/>
                <w:szCs w:val="24"/>
              </w:rPr>
              <w:t>bare</w:t>
            </w:r>
            <w:proofErr w:type="spellEnd"/>
          </w:p>
        </w:tc>
        <w:tc>
          <w:tcPr>
            <w:tcW w:w="1559" w:type="dxa"/>
            <w:tcBorders>
              <w:top w:val="single" w:sz="4" w:space="0" w:color="auto"/>
            </w:tcBorders>
          </w:tcPr>
          <w:p w14:paraId="2B9523B2" w14:textId="63EF28B7" w:rsidR="00264E71" w:rsidRPr="005C44C1" w:rsidRDefault="00264E71" w:rsidP="00264E71">
            <w:pPr>
              <w:jc w:val="both"/>
              <w:rPr>
                <w:rFonts w:ascii="Arial" w:hAnsi="Arial" w:cs="Arial"/>
                <w:szCs w:val="24"/>
              </w:rPr>
            </w:pPr>
            <w:r w:rsidRPr="00F75B71">
              <w:rPr>
                <w:rFonts w:ascii="Arial" w:hAnsi="Arial" w:cs="Arial"/>
              </w:rPr>
              <w:t>111.8</w:t>
            </w:r>
            <w:r w:rsidR="00F75B71">
              <w:rPr>
                <w:rFonts w:ascii="Arial" w:hAnsi="Arial" w:cs="Arial"/>
              </w:rPr>
              <w:t>±0.21</w:t>
            </w:r>
          </w:p>
        </w:tc>
        <w:tc>
          <w:tcPr>
            <w:tcW w:w="1843" w:type="dxa"/>
            <w:tcBorders>
              <w:top w:val="single" w:sz="4" w:space="0" w:color="auto"/>
            </w:tcBorders>
          </w:tcPr>
          <w:p w14:paraId="13873231" w14:textId="0D20D351" w:rsidR="00264E71" w:rsidRPr="005C44C1" w:rsidRDefault="00264E71" w:rsidP="00264E71">
            <w:pPr>
              <w:jc w:val="both"/>
              <w:rPr>
                <w:rFonts w:ascii="Arial" w:hAnsi="Arial" w:cs="Arial"/>
                <w:szCs w:val="24"/>
              </w:rPr>
            </w:pPr>
            <w:r w:rsidRPr="005C44C1">
              <w:rPr>
                <w:rFonts w:ascii="Arial" w:hAnsi="Arial" w:cs="Arial"/>
                <w:szCs w:val="24"/>
              </w:rPr>
              <w:t>4336.7</w:t>
            </w:r>
            <w:r w:rsidR="00F75B71">
              <w:rPr>
                <w:rFonts w:ascii="Arial" w:hAnsi="Arial" w:cs="Arial"/>
              </w:rPr>
              <w:t>±</w:t>
            </w:r>
            <w:r w:rsidR="00F75B71">
              <w:rPr>
                <w:rFonts w:ascii="Arial" w:hAnsi="Arial" w:cs="Arial"/>
              </w:rPr>
              <w:t>2.86</w:t>
            </w:r>
          </w:p>
        </w:tc>
        <w:tc>
          <w:tcPr>
            <w:tcW w:w="1545" w:type="dxa"/>
            <w:tcBorders>
              <w:top w:val="single" w:sz="4" w:space="0" w:color="auto"/>
            </w:tcBorders>
          </w:tcPr>
          <w:p w14:paraId="449D4310" w14:textId="531F95AF" w:rsidR="00264E71" w:rsidRPr="005C44C1" w:rsidRDefault="00264E71" w:rsidP="00264E71">
            <w:pPr>
              <w:jc w:val="both"/>
              <w:rPr>
                <w:rFonts w:ascii="Arial" w:hAnsi="Arial" w:cs="Arial"/>
                <w:szCs w:val="24"/>
              </w:rPr>
            </w:pPr>
            <w:r w:rsidRPr="005C44C1">
              <w:rPr>
                <w:rFonts w:ascii="Arial" w:hAnsi="Arial" w:cs="Arial"/>
                <w:szCs w:val="24"/>
              </w:rPr>
              <w:t>16.3</w:t>
            </w:r>
            <w:r w:rsidR="00F75B71">
              <w:rPr>
                <w:rFonts w:ascii="Arial" w:hAnsi="Arial" w:cs="Arial"/>
              </w:rPr>
              <w:t>±</w:t>
            </w:r>
            <w:r w:rsidR="00F75B71">
              <w:rPr>
                <w:rFonts w:ascii="Arial" w:hAnsi="Arial" w:cs="Arial"/>
              </w:rPr>
              <w:t>0.03</w:t>
            </w:r>
          </w:p>
        </w:tc>
        <w:tc>
          <w:tcPr>
            <w:tcW w:w="1715" w:type="dxa"/>
            <w:tcBorders>
              <w:top w:val="single" w:sz="4" w:space="0" w:color="auto"/>
            </w:tcBorders>
          </w:tcPr>
          <w:p w14:paraId="60229EAB" w14:textId="7CDB5E77" w:rsidR="00264E71" w:rsidRPr="005C44C1" w:rsidRDefault="00264E71" w:rsidP="00264E71">
            <w:pPr>
              <w:jc w:val="both"/>
              <w:rPr>
                <w:rFonts w:ascii="Arial" w:hAnsi="Arial" w:cs="Arial"/>
                <w:szCs w:val="24"/>
              </w:rPr>
            </w:pPr>
            <w:r w:rsidRPr="005C44C1">
              <w:rPr>
                <w:rFonts w:ascii="Arial" w:hAnsi="Arial" w:cs="Arial"/>
                <w:szCs w:val="24"/>
              </w:rPr>
              <w:t>212.5</w:t>
            </w:r>
            <w:r w:rsidR="00F75B71">
              <w:rPr>
                <w:rFonts w:ascii="Arial" w:hAnsi="Arial" w:cs="Arial"/>
              </w:rPr>
              <w:t>±</w:t>
            </w:r>
            <w:r w:rsidR="00F75B71">
              <w:rPr>
                <w:rFonts w:ascii="Arial" w:hAnsi="Arial" w:cs="Arial"/>
              </w:rPr>
              <w:t>0.39</w:t>
            </w:r>
          </w:p>
        </w:tc>
      </w:tr>
      <w:tr w:rsidR="00264E71" w14:paraId="5B5158E0" w14:textId="77777777" w:rsidTr="00F75B71">
        <w:tc>
          <w:tcPr>
            <w:tcW w:w="2127" w:type="dxa"/>
          </w:tcPr>
          <w:p w14:paraId="1B3D634C" w14:textId="77777777" w:rsidR="00264E71" w:rsidRPr="005C44C1" w:rsidRDefault="00264E71" w:rsidP="00264E71">
            <w:pPr>
              <w:jc w:val="both"/>
              <w:rPr>
                <w:rFonts w:ascii="Arial" w:hAnsi="Arial" w:cs="Arial"/>
                <w:szCs w:val="24"/>
              </w:rPr>
            </w:pPr>
            <w:r w:rsidRPr="005C44C1">
              <w:rPr>
                <w:rFonts w:ascii="Arial" w:hAnsi="Arial" w:cs="Arial"/>
                <w:szCs w:val="24"/>
              </w:rPr>
              <w:t>MWCNT-Chit/GC</w:t>
            </w:r>
          </w:p>
        </w:tc>
        <w:tc>
          <w:tcPr>
            <w:tcW w:w="1559" w:type="dxa"/>
          </w:tcPr>
          <w:p w14:paraId="1D172A8F" w14:textId="71A1866D" w:rsidR="00264E71" w:rsidRPr="005C44C1" w:rsidRDefault="00264E71" w:rsidP="00264E71">
            <w:pPr>
              <w:jc w:val="both"/>
              <w:rPr>
                <w:rFonts w:ascii="Arial" w:hAnsi="Arial" w:cs="Arial"/>
                <w:szCs w:val="24"/>
              </w:rPr>
            </w:pPr>
            <w:r w:rsidRPr="005C44C1">
              <w:rPr>
                <w:rFonts w:ascii="Arial" w:hAnsi="Arial" w:cs="Arial"/>
                <w:szCs w:val="24"/>
              </w:rPr>
              <w:t>18.7</w:t>
            </w:r>
            <w:r w:rsidR="00F75B71">
              <w:rPr>
                <w:rFonts w:ascii="Arial" w:hAnsi="Arial" w:cs="Arial"/>
              </w:rPr>
              <w:t>±</w:t>
            </w:r>
            <w:r w:rsidR="00F75B71">
              <w:rPr>
                <w:rFonts w:ascii="Arial" w:hAnsi="Arial" w:cs="Arial"/>
              </w:rPr>
              <w:t>0.06</w:t>
            </w:r>
          </w:p>
        </w:tc>
        <w:tc>
          <w:tcPr>
            <w:tcW w:w="1843" w:type="dxa"/>
          </w:tcPr>
          <w:p w14:paraId="1CC88286" w14:textId="13AE7022" w:rsidR="00264E71" w:rsidRPr="005C44C1" w:rsidRDefault="00264E71" w:rsidP="00264E71">
            <w:pPr>
              <w:jc w:val="both"/>
              <w:rPr>
                <w:rFonts w:ascii="Arial" w:hAnsi="Arial" w:cs="Arial"/>
                <w:szCs w:val="24"/>
              </w:rPr>
            </w:pPr>
            <w:r w:rsidRPr="005C44C1">
              <w:rPr>
                <w:rFonts w:ascii="Arial" w:hAnsi="Arial" w:cs="Arial"/>
                <w:szCs w:val="24"/>
              </w:rPr>
              <w:t>1481.0</w:t>
            </w:r>
            <w:r w:rsidR="00F75B71">
              <w:rPr>
                <w:rFonts w:ascii="Arial" w:hAnsi="Arial" w:cs="Arial"/>
              </w:rPr>
              <w:t>±</w:t>
            </w:r>
            <w:r w:rsidR="00F75B71">
              <w:rPr>
                <w:rFonts w:ascii="Arial" w:hAnsi="Arial" w:cs="Arial"/>
              </w:rPr>
              <w:t>1.23</w:t>
            </w:r>
          </w:p>
        </w:tc>
        <w:tc>
          <w:tcPr>
            <w:tcW w:w="1545" w:type="dxa"/>
          </w:tcPr>
          <w:p w14:paraId="53440899" w14:textId="03007BF3" w:rsidR="00264E71" w:rsidRPr="005C44C1" w:rsidRDefault="00264E71" w:rsidP="00264E71">
            <w:pPr>
              <w:jc w:val="both"/>
              <w:rPr>
                <w:rFonts w:ascii="Arial" w:hAnsi="Arial" w:cs="Arial"/>
                <w:szCs w:val="24"/>
              </w:rPr>
            </w:pPr>
            <w:r w:rsidRPr="005C44C1">
              <w:rPr>
                <w:rFonts w:ascii="Arial" w:hAnsi="Arial" w:cs="Arial"/>
                <w:szCs w:val="24"/>
              </w:rPr>
              <w:t>251.9</w:t>
            </w:r>
            <w:r w:rsidR="00F75B71">
              <w:rPr>
                <w:rFonts w:ascii="Arial" w:hAnsi="Arial" w:cs="Arial"/>
              </w:rPr>
              <w:t>±</w:t>
            </w:r>
            <w:r w:rsidR="00F75B71">
              <w:rPr>
                <w:rFonts w:ascii="Arial" w:hAnsi="Arial" w:cs="Arial"/>
              </w:rPr>
              <w:t>0.46</w:t>
            </w:r>
          </w:p>
        </w:tc>
        <w:tc>
          <w:tcPr>
            <w:tcW w:w="1715" w:type="dxa"/>
          </w:tcPr>
          <w:p w14:paraId="740ABF14" w14:textId="0B195360" w:rsidR="00264E71" w:rsidRPr="005C44C1" w:rsidRDefault="00264E71" w:rsidP="00264E71">
            <w:pPr>
              <w:jc w:val="both"/>
              <w:rPr>
                <w:rFonts w:ascii="Arial" w:hAnsi="Arial" w:cs="Arial"/>
                <w:szCs w:val="24"/>
              </w:rPr>
            </w:pPr>
            <w:r w:rsidRPr="005C44C1">
              <w:rPr>
                <w:rFonts w:ascii="Arial" w:hAnsi="Arial" w:cs="Arial"/>
                <w:szCs w:val="24"/>
              </w:rPr>
              <w:t>39.9</w:t>
            </w:r>
            <w:r w:rsidR="00F75B71">
              <w:rPr>
                <w:rFonts w:ascii="Arial" w:hAnsi="Arial" w:cs="Arial"/>
              </w:rPr>
              <w:t>±</w:t>
            </w:r>
            <w:r w:rsidR="00F75B71">
              <w:rPr>
                <w:rFonts w:ascii="Arial" w:hAnsi="Arial" w:cs="Arial"/>
              </w:rPr>
              <w:t>0.07</w:t>
            </w:r>
          </w:p>
        </w:tc>
      </w:tr>
    </w:tbl>
    <w:p w14:paraId="0058A205" w14:textId="74DB6F5E" w:rsidR="00264E71" w:rsidRPr="00264E71" w:rsidRDefault="00264E71" w:rsidP="00D5314F">
      <w:pPr>
        <w:tabs>
          <w:tab w:val="left" w:pos="2145"/>
        </w:tabs>
        <w:spacing w:line="360" w:lineRule="auto"/>
        <w:jc w:val="both"/>
        <w:rPr>
          <w:rFonts w:ascii="Arial" w:hAnsi="Arial" w:cs="Arial"/>
          <w:bCs/>
          <w:sz w:val="20"/>
          <w:szCs w:val="18"/>
        </w:rPr>
      </w:pPr>
      <w:r>
        <w:rPr>
          <w:rFonts w:ascii="Arial" w:hAnsi="Arial" w:cs="Arial"/>
          <w:b/>
          <w:sz w:val="20"/>
          <w:szCs w:val="18"/>
        </w:rPr>
        <w:t xml:space="preserve">Tabla 1. </w:t>
      </w:r>
      <w:r w:rsidRPr="00264E71">
        <w:rPr>
          <w:rFonts w:ascii="Arial" w:hAnsi="Arial" w:cs="Arial"/>
          <w:bCs/>
          <w:sz w:val="20"/>
          <w:szCs w:val="18"/>
        </w:rPr>
        <w:t xml:space="preserve">Parámetros de impedancia utilizando el circuito </w:t>
      </w:r>
      <w:r>
        <w:rPr>
          <w:rFonts w:ascii="Arial" w:hAnsi="Arial" w:cs="Arial"/>
          <w:bCs/>
          <w:sz w:val="20"/>
          <w:szCs w:val="18"/>
        </w:rPr>
        <w:t xml:space="preserve">equivalente de </w:t>
      </w:r>
      <w:r w:rsidRPr="00264E71">
        <w:rPr>
          <w:rFonts w:ascii="Arial" w:hAnsi="Arial" w:cs="Arial"/>
          <w:bCs/>
          <w:sz w:val="20"/>
          <w:szCs w:val="18"/>
        </w:rPr>
        <w:t>Randles</w:t>
      </w:r>
      <w:r>
        <w:rPr>
          <w:rFonts w:ascii="Arial" w:hAnsi="Arial" w:cs="Arial"/>
          <w:bCs/>
          <w:sz w:val="20"/>
          <w:szCs w:val="18"/>
        </w:rPr>
        <w:t>.</w:t>
      </w:r>
    </w:p>
    <w:p w14:paraId="13906192" w14:textId="3A5F2162" w:rsidR="00264E71" w:rsidRDefault="00264E71" w:rsidP="007C75E9">
      <w:pPr>
        <w:tabs>
          <w:tab w:val="left" w:pos="2145"/>
        </w:tabs>
        <w:spacing w:line="360" w:lineRule="auto"/>
        <w:jc w:val="both"/>
        <w:rPr>
          <w:rFonts w:ascii="Arial" w:hAnsi="Arial" w:cs="Arial"/>
          <w:bCs/>
          <w:i/>
          <w:iCs/>
          <w:sz w:val="24"/>
          <w:u w:val="single"/>
        </w:rPr>
      </w:pPr>
      <w:r>
        <w:rPr>
          <w:rFonts w:ascii="Arial" w:hAnsi="Arial" w:cs="Arial"/>
          <w:bCs/>
          <w:i/>
          <w:iCs/>
          <w:sz w:val="24"/>
          <w:u w:val="single"/>
        </w:rPr>
        <w:t>Caracterización voltamperométrica</w:t>
      </w:r>
    </w:p>
    <w:p w14:paraId="6D92D040" w14:textId="0BCE1C0F" w:rsidR="00264E71" w:rsidRDefault="00264E71" w:rsidP="007C75E9">
      <w:pPr>
        <w:tabs>
          <w:tab w:val="left" w:pos="2145"/>
        </w:tabs>
        <w:spacing w:line="360" w:lineRule="auto"/>
        <w:jc w:val="both"/>
        <w:rPr>
          <w:rFonts w:ascii="Arial" w:hAnsi="Arial" w:cs="Arial"/>
          <w:b/>
          <w:sz w:val="24"/>
        </w:rPr>
      </w:pPr>
      <w:r w:rsidRPr="00264E71">
        <w:rPr>
          <w:rFonts w:ascii="Arial" w:hAnsi="Arial" w:cs="Arial"/>
          <w:bCs/>
          <w:sz w:val="24"/>
        </w:rPr>
        <w:t>Por medio de voltam</w:t>
      </w:r>
      <w:r>
        <w:rPr>
          <w:rFonts w:ascii="Arial" w:hAnsi="Arial" w:cs="Arial"/>
          <w:bCs/>
          <w:sz w:val="24"/>
        </w:rPr>
        <w:t>perom</w:t>
      </w:r>
      <w:r w:rsidRPr="00264E71">
        <w:rPr>
          <w:rFonts w:ascii="Arial" w:hAnsi="Arial" w:cs="Arial"/>
          <w:bCs/>
          <w:sz w:val="24"/>
        </w:rPr>
        <w:t xml:space="preserve">etría cíclica (CV), se determinó el área de trabajo efectiva, </w:t>
      </w:r>
      <w:r w:rsidR="0076160D" w:rsidRPr="00264E71">
        <w:rPr>
          <w:rFonts w:ascii="Arial" w:hAnsi="Arial" w:cs="Arial"/>
          <w:bCs/>
          <w:sz w:val="24"/>
        </w:rPr>
        <w:t>con la ecuación de Randles-Sevcik (Ec</w:t>
      </w:r>
      <w:r w:rsidR="0076160D">
        <w:rPr>
          <w:rFonts w:ascii="Arial" w:hAnsi="Arial" w:cs="Arial"/>
          <w:bCs/>
          <w:sz w:val="24"/>
        </w:rPr>
        <w:t>uación 1</w:t>
      </w:r>
      <w:r w:rsidR="0076160D" w:rsidRPr="00264E71">
        <w:rPr>
          <w:rFonts w:ascii="Arial" w:hAnsi="Arial" w:cs="Arial"/>
          <w:bCs/>
          <w:sz w:val="24"/>
        </w:rPr>
        <w:t>, a 25 ° C)</w:t>
      </w:r>
      <w:r w:rsidR="0076160D">
        <w:rPr>
          <w:rFonts w:ascii="Arial" w:hAnsi="Arial" w:cs="Arial"/>
          <w:bCs/>
          <w:sz w:val="24"/>
        </w:rPr>
        <w:t xml:space="preserve">, </w:t>
      </w:r>
      <w:r w:rsidRPr="00264E71">
        <w:rPr>
          <w:rFonts w:ascii="Arial" w:hAnsi="Arial" w:cs="Arial"/>
          <w:bCs/>
          <w:sz w:val="24"/>
        </w:rPr>
        <w:t>al analizar el proceso reversible del par [</w:t>
      </w:r>
      <w:proofErr w:type="gramStart"/>
      <w:r w:rsidRPr="00264E71">
        <w:rPr>
          <w:rFonts w:ascii="Arial" w:hAnsi="Arial" w:cs="Arial"/>
          <w:bCs/>
          <w:sz w:val="24"/>
        </w:rPr>
        <w:t>Fe(</w:t>
      </w:r>
      <w:proofErr w:type="gramEnd"/>
      <w:r w:rsidRPr="00264E71">
        <w:rPr>
          <w:rFonts w:ascii="Arial" w:hAnsi="Arial" w:cs="Arial"/>
          <w:bCs/>
          <w:sz w:val="24"/>
        </w:rPr>
        <w:t>CN)</w:t>
      </w:r>
      <w:r w:rsidRPr="00264E71">
        <w:rPr>
          <w:rFonts w:ascii="Arial" w:hAnsi="Arial" w:cs="Arial"/>
          <w:bCs/>
          <w:sz w:val="24"/>
          <w:vertAlign w:val="subscript"/>
        </w:rPr>
        <w:t>6</w:t>
      </w:r>
      <w:r w:rsidRPr="00264E71">
        <w:rPr>
          <w:rFonts w:ascii="Arial" w:hAnsi="Arial" w:cs="Arial"/>
          <w:bCs/>
          <w:sz w:val="24"/>
        </w:rPr>
        <w:t>]</w:t>
      </w:r>
      <w:r w:rsidRPr="00264E71">
        <w:rPr>
          <w:rFonts w:ascii="Arial" w:hAnsi="Arial" w:cs="Arial"/>
          <w:bCs/>
          <w:sz w:val="24"/>
          <w:vertAlign w:val="superscript"/>
        </w:rPr>
        <w:t>3-/4-</w:t>
      </w:r>
      <w:r w:rsidR="0076160D">
        <w:rPr>
          <w:rFonts w:ascii="Arial" w:hAnsi="Arial" w:cs="Arial"/>
          <w:bCs/>
          <w:sz w:val="24"/>
        </w:rPr>
        <w:t>.</w:t>
      </w:r>
    </w:p>
    <w:p w14:paraId="653189CE" w14:textId="14F210B6" w:rsidR="00264E71" w:rsidRPr="00264E71" w:rsidRDefault="00264E71" w:rsidP="00264E71">
      <w:pPr>
        <w:tabs>
          <w:tab w:val="left" w:pos="2145"/>
        </w:tabs>
        <w:spacing w:line="360" w:lineRule="auto"/>
        <w:jc w:val="both"/>
        <w:rPr>
          <w:rFonts w:ascii="Arial" w:hAnsi="Arial" w:cs="Arial"/>
          <w:bCs/>
          <w:sz w:val="24"/>
          <w:lang w:val="en-US"/>
        </w:rPr>
      </w:pPr>
      <w:r w:rsidRPr="00264E71">
        <w:rPr>
          <w:rFonts w:ascii="Arial" w:hAnsi="Arial" w:cs="Arial"/>
          <w:bCs/>
          <w:sz w:val="24"/>
          <w:lang w:val="en-US"/>
        </w:rPr>
        <w:t xml:space="preserve">                                 </w:t>
      </w:r>
      <w:r w:rsidR="0076160D">
        <w:rPr>
          <w:rFonts w:ascii="Arial" w:hAnsi="Arial" w:cs="Arial"/>
          <w:bCs/>
          <w:sz w:val="24"/>
          <w:lang w:val="en-US"/>
        </w:rPr>
        <w:t xml:space="preserve">          </w:t>
      </w:r>
      <w:r w:rsidRPr="00264E71">
        <w:rPr>
          <w:rFonts w:ascii="Arial" w:hAnsi="Arial" w:cs="Arial"/>
          <w:bCs/>
          <w:sz w:val="24"/>
          <w:lang w:val="en-US"/>
        </w:rPr>
        <w:t>Ip</w:t>
      </w:r>
      <w:r w:rsidR="0076160D">
        <w:rPr>
          <w:rFonts w:ascii="Arial" w:hAnsi="Arial" w:cs="Arial"/>
          <w:bCs/>
          <w:sz w:val="24"/>
          <w:vertAlign w:val="subscript"/>
          <w:lang w:val="en-US"/>
        </w:rPr>
        <w:t>a</w:t>
      </w:r>
      <w:r w:rsidRPr="00264E71">
        <w:rPr>
          <w:rFonts w:ascii="Arial" w:hAnsi="Arial" w:cs="Arial"/>
          <w:bCs/>
          <w:sz w:val="24"/>
          <w:lang w:val="en-US"/>
        </w:rPr>
        <w:t xml:space="preserve"> = 2.69x10</w:t>
      </w:r>
      <w:r w:rsidRPr="00264E71">
        <w:rPr>
          <w:rFonts w:ascii="Arial" w:hAnsi="Arial" w:cs="Arial"/>
          <w:bCs/>
          <w:sz w:val="24"/>
          <w:vertAlign w:val="superscript"/>
          <w:lang w:val="en-US"/>
        </w:rPr>
        <w:t>5</w:t>
      </w:r>
      <w:r w:rsidRPr="00264E71">
        <w:rPr>
          <w:rFonts w:ascii="Arial" w:hAnsi="Arial" w:cs="Arial"/>
          <w:bCs/>
          <w:sz w:val="24"/>
          <w:lang w:val="en-US"/>
        </w:rPr>
        <w:t xml:space="preserve"> n</w:t>
      </w:r>
      <w:r w:rsidRPr="00264E71">
        <w:rPr>
          <w:rFonts w:ascii="Arial" w:hAnsi="Arial" w:cs="Arial"/>
          <w:bCs/>
          <w:sz w:val="24"/>
          <w:vertAlign w:val="superscript"/>
          <w:lang w:val="en-US"/>
        </w:rPr>
        <w:t>3/2</w:t>
      </w:r>
      <w:r w:rsidRPr="00264E71">
        <w:rPr>
          <w:rFonts w:ascii="Arial" w:hAnsi="Arial" w:cs="Arial"/>
          <w:bCs/>
          <w:sz w:val="24"/>
          <w:lang w:val="en-US"/>
        </w:rPr>
        <w:t xml:space="preserve"> D</w:t>
      </w:r>
      <w:r w:rsidRPr="00264E71">
        <w:rPr>
          <w:rFonts w:ascii="Arial" w:hAnsi="Arial" w:cs="Arial"/>
          <w:bCs/>
          <w:sz w:val="24"/>
          <w:vertAlign w:val="superscript"/>
          <w:lang w:val="en-US"/>
        </w:rPr>
        <w:t>1/2</w:t>
      </w:r>
      <w:r w:rsidRPr="00264E71">
        <w:rPr>
          <w:rFonts w:ascii="Arial" w:hAnsi="Arial" w:cs="Arial"/>
          <w:bCs/>
          <w:sz w:val="24"/>
          <w:lang w:val="en-US"/>
        </w:rPr>
        <w:t xml:space="preserve"> v</w:t>
      </w:r>
      <w:r w:rsidRPr="00264E71">
        <w:rPr>
          <w:rFonts w:ascii="Arial" w:hAnsi="Arial" w:cs="Arial"/>
          <w:bCs/>
          <w:sz w:val="24"/>
          <w:vertAlign w:val="superscript"/>
          <w:lang w:val="en-US"/>
        </w:rPr>
        <w:t>1/2</w:t>
      </w:r>
      <w:r w:rsidRPr="00264E71">
        <w:rPr>
          <w:rFonts w:ascii="Arial" w:hAnsi="Arial" w:cs="Arial"/>
          <w:bCs/>
          <w:sz w:val="24"/>
          <w:lang w:val="en-US"/>
        </w:rPr>
        <w:t>A C</w:t>
      </w:r>
      <w:r w:rsidRPr="00264E71">
        <w:rPr>
          <w:rFonts w:ascii="Arial" w:hAnsi="Arial" w:cs="Arial"/>
          <w:bCs/>
          <w:i/>
          <w:sz w:val="24"/>
          <w:lang w:val="en-US"/>
        </w:rPr>
        <w:t xml:space="preserve">    </w:t>
      </w:r>
      <w:r w:rsidRPr="00264E71">
        <w:rPr>
          <w:rFonts w:ascii="Arial" w:hAnsi="Arial" w:cs="Arial"/>
          <w:bCs/>
          <w:sz w:val="24"/>
          <w:lang w:val="en-US"/>
        </w:rPr>
        <w:t xml:space="preserve">                            </w:t>
      </w:r>
      <w:r w:rsidR="0076160D">
        <w:rPr>
          <w:rFonts w:ascii="Arial" w:hAnsi="Arial" w:cs="Arial"/>
          <w:bCs/>
          <w:sz w:val="24"/>
          <w:lang w:val="en-US"/>
        </w:rPr>
        <w:t xml:space="preserve">  </w:t>
      </w:r>
      <w:r w:rsidRPr="00264E71">
        <w:rPr>
          <w:rFonts w:ascii="Arial" w:hAnsi="Arial" w:cs="Arial"/>
          <w:bCs/>
          <w:sz w:val="24"/>
          <w:lang w:val="en-US"/>
        </w:rPr>
        <w:t xml:space="preserve">  </w:t>
      </w:r>
      <w:proofErr w:type="gramStart"/>
      <w:r w:rsidRPr="00264E71">
        <w:rPr>
          <w:rFonts w:ascii="Arial" w:hAnsi="Arial" w:cs="Arial"/>
          <w:bCs/>
          <w:sz w:val="24"/>
          <w:lang w:val="en-US"/>
        </w:rPr>
        <w:t xml:space="preserve">   (</w:t>
      </w:r>
      <w:proofErr w:type="gramEnd"/>
      <w:r>
        <w:rPr>
          <w:rFonts w:ascii="Arial" w:hAnsi="Arial" w:cs="Arial"/>
          <w:bCs/>
          <w:sz w:val="24"/>
          <w:lang w:val="en-US"/>
        </w:rPr>
        <w:t>1</w:t>
      </w:r>
      <w:r w:rsidRPr="00264E71">
        <w:rPr>
          <w:rFonts w:ascii="Arial" w:hAnsi="Arial" w:cs="Arial"/>
          <w:bCs/>
          <w:sz w:val="24"/>
          <w:lang w:val="en-US"/>
        </w:rPr>
        <w:t>)</w:t>
      </w:r>
    </w:p>
    <w:p w14:paraId="6525A668" w14:textId="7DE616F3" w:rsidR="00264E71" w:rsidRDefault="008E39DC" w:rsidP="007C75E9">
      <w:pPr>
        <w:tabs>
          <w:tab w:val="left" w:pos="2145"/>
        </w:tabs>
        <w:spacing w:line="360" w:lineRule="auto"/>
        <w:jc w:val="both"/>
        <w:rPr>
          <w:rFonts w:ascii="Arial" w:hAnsi="Arial" w:cs="Arial"/>
          <w:bCs/>
          <w:sz w:val="24"/>
        </w:rPr>
      </w:pPr>
      <w:r w:rsidRPr="003E048B">
        <w:rPr>
          <w:noProof/>
        </w:rPr>
        <w:drawing>
          <wp:anchor distT="0" distB="0" distL="114300" distR="114300" simplePos="0" relativeHeight="251771904" behindDoc="1" locked="0" layoutInCell="1" allowOverlap="1" wp14:anchorId="7995862A" wp14:editId="4DEC9CC6">
            <wp:simplePos x="0" y="0"/>
            <wp:positionH relativeFrom="margin">
              <wp:posOffset>1199769</wp:posOffset>
            </wp:positionH>
            <wp:positionV relativeFrom="paragraph">
              <wp:posOffset>1815338</wp:posOffset>
            </wp:positionV>
            <wp:extent cx="3047365" cy="2651760"/>
            <wp:effectExtent l="0" t="0" r="635"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6061" t="8867" r="12310" b="2211"/>
                    <a:stretch/>
                  </pic:blipFill>
                  <pic:spPr bwMode="auto">
                    <a:xfrm>
                      <a:off x="0" y="0"/>
                      <a:ext cx="3047365" cy="2651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64E71" w:rsidRPr="00264E71">
        <w:rPr>
          <w:rFonts w:ascii="Arial" w:hAnsi="Arial" w:cs="Arial"/>
          <w:bCs/>
          <w:sz w:val="24"/>
        </w:rPr>
        <w:t>La corriente</w:t>
      </w:r>
      <w:r>
        <w:rPr>
          <w:rFonts w:ascii="Arial" w:hAnsi="Arial" w:cs="Arial"/>
          <w:bCs/>
          <w:sz w:val="24"/>
        </w:rPr>
        <w:t xml:space="preserve"> pico</w:t>
      </w:r>
      <w:r w:rsidR="00264E71" w:rsidRPr="00264E71">
        <w:rPr>
          <w:rFonts w:ascii="Arial" w:hAnsi="Arial" w:cs="Arial"/>
          <w:bCs/>
          <w:sz w:val="24"/>
        </w:rPr>
        <w:t xml:space="preserve"> se midió a 1, 5, 10 y 25 mV s</w:t>
      </w:r>
      <w:r w:rsidR="00264E71" w:rsidRPr="007C7324">
        <w:rPr>
          <w:rFonts w:ascii="Arial" w:hAnsi="Arial" w:cs="Arial"/>
          <w:bCs/>
          <w:sz w:val="24"/>
          <w:vertAlign w:val="superscript"/>
        </w:rPr>
        <w:t>-1</w:t>
      </w:r>
      <w:r w:rsidR="00264E71" w:rsidRPr="00264E71">
        <w:rPr>
          <w:rFonts w:ascii="Arial" w:hAnsi="Arial" w:cs="Arial"/>
          <w:bCs/>
          <w:sz w:val="24"/>
        </w:rPr>
        <w:t>.</w:t>
      </w:r>
      <w:r w:rsidR="007C7324">
        <w:rPr>
          <w:rFonts w:ascii="Arial" w:hAnsi="Arial" w:cs="Arial"/>
          <w:bCs/>
          <w:sz w:val="24"/>
        </w:rPr>
        <w:t xml:space="preserve"> E</w:t>
      </w:r>
      <w:r w:rsidR="00264E71" w:rsidRPr="00264E71">
        <w:rPr>
          <w:rFonts w:ascii="Arial" w:hAnsi="Arial" w:cs="Arial"/>
          <w:bCs/>
          <w:sz w:val="24"/>
        </w:rPr>
        <w:t xml:space="preserve">l área se calculó utilizando los siguientes parámetros: </w:t>
      </w:r>
      <w:r w:rsidR="00864295">
        <w:rPr>
          <w:rFonts w:ascii="Arial" w:hAnsi="Arial" w:cs="Arial"/>
          <w:bCs/>
          <w:sz w:val="24"/>
        </w:rPr>
        <w:t>concentración (1x10</w:t>
      </w:r>
      <w:r w:rsidR="00864295">
        <w:rPr>
          <w:rFonts w:ascii="Arial" w:hAnsi="Arial" w:cs="Arial"/>
          <w:bCs/>
          <w:sz w:val="24"/>
          <w:vertAlign w:val="superscript"/>
        </w:rPr>
        <w:t xml:space="preserve">-6 </w:t>
      </w:r>
      <w:r w:rsidR="00864295">
        <w:rPr>
          <w:rFonts w:ascii="Arial" w:hAnsi="Arial" w:cs="Arial"/>
          <w:bCs/>
          <w:sz w:val="24"/>
        </w:rPr>
        <w:t>cm</w:t>
      </w:r>
      <w:r w:rsidR="00864295">
        <w:rPr>
          <w:rFonts w:ascii="Arial" w:hAnsi="Arial" w:cs="Arial"/>
          <w:bCs/>
          <w:sz w:val="24"/>
          <w:vertAlign w:val="superscript"/>
        </w:rPr>
        <w:t>3</w:t>
      </w:r>
      <w:r w:rsidR="00864295">
        <w:rPr>
          <w:rFonts w:ascii="Arial" w:hAnsi="Arial" w:cs="Arial"/>
          <w:bCs/>
          <w:sz w:val="24"/>
        </w:rPr>
        <w:t xml:space="preserve"> mol</w:t>
      </w:r>
      <w:r w:rsidR="00864295">
        <w:rPr>
          <w:rFonts w:ascii="Arial" w:hAnsi="Arial" w:cs="Arial"/>
          <w:bCs/>
          <w:sz w:val="24"/>
          <w:vertAlign w:val="superscript"/>
        </w:rPr>
        <w:t>-1</w:t>
      </w:r>
      <w:r w:rsidR="00864295">
        <w:rPr>
          <w:rFonts w:ascii="Arial" w:hAnsi="Arial" w:cs="Arial"/>
          <w:bCs/>
          <w:sz w:val="24"/>
        </w:rPr>
        <w:t>) y</w:t>
      </w:r>
      <w:r w:rsidR="00264E71" w:rsidRPr="00264E71">
        <w:rPr>
          <w:rFonts w:ascii="Arial" w:hAnsi="Arial" w:cs="Arial"/>
          <w:bCs/>
          <w:sz w:val="24"/>
        </w:rPr>
        <w:t xml:space="preserve"> coeficiente de difusión de </w:t>
      </w:r>
      <w:r w:rsidR="007C7324" w:rsidRPr="007C7324">
        <w:rPr>
          <w:rFonts w:ascii="Arial" w:hAnsi="Arial" w:cs="Arial"/>
          <w:bCs/>
          <w:sz w:val="24"/>
        </w:rPr>
        <w:t>[</w:t>
      </w:r>
      <w:proofErr w:type="gramStart"/>
      <w:r w:rsidR="007C7324" w:rsidRPr="007C7324">
        <w:rPr>
          <w:rFonts w:ascii="Arial" w:hAnsi="Arial" w:cs="Arial"/>
          <w:bCs/>
          <w:sz w:val="24"/>
        </w:rPr>
        <w:t>Fe(</w:t>
      </w:r>
      <w:proofErr w:type="gramEnd"/>
      <w:r w:rsidR="007C7324" w:rsidRPr="007C7324">
        <w:rPr>
          <w:rFonts w:ascii="Arial" w:hAnsi="Arial" w:cs="Arial"/>
          <w:bCs/>
          <w:sz w:val="24"/>
        </w:rPr>
        <w:t>CN)</w:t>
      </w:r>
      <w:r w:rsidR="007C7324" w:rsidRPr="007C7324">
        <w:rPr>
          <w:rFonts w:ascii="Arial" w:hAnsi="Arial" w:cs="Arial"/>
          <w:bCs/>
          <w:sz w:val="24"/>
          <w:vertAlign w:val="subscript"/>
        </w:rPr>
        <w:t>6</w:t>
      </w:r>
      <w:r w:rsidR="007C7324" w:rsidRPr="007C7324">
        <w:rPr>
          <w:rFonts w:ascii="Arial" w:hAnsi="Arial" w:cs="Arial"/>
          <w:bCs/>
          <w:sz w:val="24"/>
        </w:rPr>
        <w:t>]</w:t>
      </w:r>
      <w:r w:rsidR="007C7324" w:rsidRPr="007C7324">
        <w:rPr>
          <w:rFonts w:ascii="Arial" w:hAnsi="Arial" w:cs="Arial"/>
          <w:bCs/>
          <w:sz w:val="24"/>
          <w:vertAlign w:val="superscript"/>
        </w:rPr>
        <w:t xml:space="preserve">3-/4- </w:t>
      </w:r>
      <w:r w:rsidR="00264E71" w:rsidRPr="00264E71">
        <w:rPr>
          <w:rFonts w:ascii="Arial" w:hAnsi="Arial" w:cs="Arial"/>
          <w:bCs/>
          <w:sz w:val="24"/>
        </w:rPr>
        <w:t>(7.6x10</w:t>
      </w:r>
      <w:r w:rsidR="00264E71" w:rsidRPr="007C7324">
        <w:rPr>
          <w:rFonts w:ascii="Arial" w:hAnsi="Arial" w:cs="Arial"/>
          <w:bCs/>
          <w:sz w:val="24"/>
          <w:vertAlign w:val="superscript"/>
        </w:rPr>
        <w:t>-5</w:t>
      </w:r>
      <w:r w:rsidR="00264E71" w:rsidRPr="00264E71">
        <w:rPr>
          <w:rFonts w:ascii="Arial" w:hAnsi="Arial" w:cs="Arial"/>
          <w:bCs/>
          <w:sz w:val="24"/>
        </w:rPr>
        <w:t xml:space="preserve"> cm</w:t>
      </w:r>
      <w:r w:rsidR="00264E71" w:rsidRPr="007C7324">
        <w:rPr>
          <w:rFonts w:ascii="Arial" w:hAnsi="Arial" w:cs="Arial"/>
          <w:bCs/>
          <w:sz w:val="24"/>
          <w:vertAlign w:val="superscript"/>
        </w:rPr>
        <w:t>2</w:t>
      </w:r>
      <w:r w:rsidR="00264E71" w:rsidRPr="00264E71">
        <w:rPr>
          <w:rFonts w:ascii="Arial" w:hAnsi="Arial" w:cs="Arial"/>
          <w:bCs/>
          <w:sz w:val="24"/>
        </w:rPr>
        <w:t xml:space="preserve"> s</w:t>
      </w:r>
      <w:r w:rsidR="00264E71" w:rsidRPr="007C7324">
        <w:rPr>
          <w:rFonts w:ascii="Arial" w:hAnsi="Arial" w:cs="Arial"/>
          <w:bCs/>
          <w:sz w:val="24"/>
          <w:vertAlign w:val="superscript"/>
        </w:rPr>
        <w:t>-1</w:t>
      </w:r>
      <w:r w:rsidR="007C7324">
        <w:rPr>
          <w:rFonts w:ascii="Arial" w:hAnsi="Arial" w:cs="Arial"/>
          <w:bCs/>
          <w:sz w:val="24"/>
        </w:rPr>
        <w:t>)</w:t>
      </w:r>
      <w:r w:rsidR="00264E71" w:rsidRPr="00264E71">
        <w:rPr>
          <w:rFonts w:ascii="Arial" w:hAnsi="Arial" w:cs="Arial"/>
          <w:bCs/>
          <w:sz w:val="24"/>
        </w:rPr>
        <w:t>. La</w:t>
      </w:r>
      <w:r>
        <w:rPr>
          <w:rFonts w:ascii="Arial" w:hAnsi="Arial" w:cs="Arial"/>
          <w:bCs/>
          <w:sz w:val="24"/>
        </w:rPr>
        <w:t xml:space="preserve"> </w:t>
      </w:r>
      <w:r w:rsidR="00264E71" w:rsidRPr="00264E71">
        <w:rPr>
          <w:rFonts w:ascii="Arial" w:hAnsi="Arial" w:cs="Arial"/>
          <w:bCs/>
          <w:sz w:val="24"/>
        </w:rPr>
        <w:t>Ip</w:t>
      </w:r>
      <w:r w:rsidR="00264E71" w:rsidRPr="008E39DC">
        <w:rPr>
          <w:rFonts w:ascii="Arial" w:hAnsi="Arial" w:cs="Arial"/>
          <w:bCs/>
          <w:sz w:val="24"/>
          <w:vertAlign w:val="subscript"/>
        </w:rPr>
        <w:t>a</w:t>
      </w:r>
      <w:r w:rsidR="00264E71" w:rsidRPr="00264E71">
        <w:rPr>
          <w:rFonts w:ascii="Arial" w:hAnsi="Arial" w:cs="Arial"/>
          <w:bCs/>
          <w:sz w:val="24"/>
        </w:rPr>
        <w:t xml:space="preserve"> se registró en </w:t>
      </w:r>
      <w:r>
        <w:rPr>
          <w:rFonts w:ascii="Arial" w:hAnsi="Arial" w:cs="Arial"/>
          <w:bCs/>
          <w:sz w:val="24"/>
        </w:rPr>
        <w:t>m</w:t>
      </w:r>
      <w:r w:rsidR="00264E71" w:rsidRPr="00264E71">
        <w:rPr>
          <w:rFonts w:ascii="Arial" w:hAnsi="Arial" w:cs="Arial"/>
          <w:bCs/>
          <w:sz w:val="24"/>
        </w:rPr>
        <w:t xml:space="preserve">A y la velocidad de </w:t>
      </w:r>
      <w:r>
        <w:rPr>
          <w:rFonts w:ascii="Arial" w:hAnsi="Arial" w:cs="Arial"/>
          <w:bCs/>
          <w:sz w:val="24"/>
        </w:rPr>
        <w:t>barrido</w:t>
      </w:r>
      <w:r w:rsidR="00264E71" w:rsidRPr="00264E71">
        <w:rPr>
          <w:rFonts w:ascii="Arial" w:hAnsi="Arial" w:cs="Arial"/>
          <w:bCs/>
          <w:sz w:val="24"/>
        </w:rPr>
        <w:t xml:space="preserve"> (v) en V s</w:t>
      </w:r>
      <w:r w:rsidR="00264E71" w:rsidRPr="007C7324">
        <w:rPr>
          <w:rFonts w:ascii="Arial" w:hAnsi="Arial" w:cs="Arial"/>
          <w:bCs/>
          <w:sz w:val="24"/>
          <w:vertAlign w:val="superscript"/>
        </w:rPr>
        <w:t>-1</w:t>
      </w:r>
      <w:r w:rsidR="00264E71" w:rsidRPr="00264E71">
        <w:rPr>
          <w:rFonts w:ascii="Arial" w:hAnsi="Arial" w:cs="Arial"/>
          <w:bCs/>
          <w:sz w:val="24"/>
        </w:rPr>
        <w:t>.</w:t>
      </w:r>
      <w:r w:rsidR="007C7324">
        <w:rPr>
          <w:rFonts w:ascii="Arial" w:hAnsi="Arial" w:cs="Arial"/>
          <w:bCs/>
          <w:sz w:val="24"/>
        </w:rPr>
        <w:t xml:space="preserve"> </w:t>
      </w:r>
      <w:r w:rsidR="007C7324" w:rsidRPr="007C7324">
        <w:rPr>
          <w:rFonts w:ascii="Arial" w:hAnsi="Arial" w:cs="Arial"/>
          <w:bCs/>
          <w:sz w:val="24"/>
        </w:rPr>
        <w:t xml:space="preserve">Con la pendiente de la ecuación de la </w:t>
      </w:r>
      <w:r w:rsidR="0076160D">
        <w:rPr>
          <w:rFonts w:ascii="Arial" w:hAnsi="Arial" w:cs="Arial"/>
          <w:bCs/>
          <w:sz w:val="24"/>
        </w:rPr>
        <w:t>recta</w:t>
      </w:r>
      <w:r w:rsidR="007C7324" w:rsidRPr="007C7324">
        <w:rPr>
          <w:rFonts w:ascii="Arial" w:hAnsi="Arial" w:cs="Arial"/>
          <w:bCs/>
          <w:sz w:val="24"/>
        </w:rPr>
        <w:t xml:space="preserve"> de la gráfica Ip</w:t>
      </w:r>
      <w:r w:rsidR="007C7324" w:rsidRPr="008E39DC">
        <w:rPr>
          <w:rFonts w:ascii="Arial" w:hAnsi="Arial" w:cs="Arial"/>
          <w:bCs/>
          <w:sz w:val="24"/>
          <w:vertAlign w:val="subscript"/>
        </w:rPr>
        <w:t>a</w:t>
      </w:r>
      <w:r w:rsidR="007C7324" w:rsidRPr="007C7324">
        <w:rPr>
          <w:rFonts w:ascii="Arial" w:hAnsi="Arial" w:cs="Arial"/>
          <w:bCs/>
          <w:sz w:val="24"/>
        </w:rPr>
        <w:t xml:space="preserve"> </w:t>
      </w:r>
      <w:r w:rsidR="007C7324" w:rsidRPr="008E39DC">
        <w:rPr>
          <w:rFonts w:ascii="Arial" w:hAnsi="Arial" w:cs="Arial"/>
          <w:bCs/>
          <w:i/>
          <w:iCs/>
          <w:sz w:val="24"/>
        </w:rPr>
        <w:t>vs</w:t>
      </w:r>
      <w:r w:rsidR="007C7324" w:rsidRPr="007C7324">
        <w:rPr>
          <w:rFonts w:ascii="Arial" w:hAnsi="Arial" w:cs="Arial"/>
          <w:bCs/>
          <w:sz w:val="24"/>
        </w:rPr>
        <w:t>. v</w:t>
      </w:r>
      <w:r w:rsidR="007C7324" w:rsidRPr="007C7324">
        <w:rPr>
          <w:rFonts w:ascii="Arial" w:hAnsi="Arial" w:cs="Arial"/>
          <w:bCs/>
          <w:sz w:val="24"/>
          <w:vertAlign w:val="superscript"/>
        </w:rPr>
        <w:t>1/2</w:t>
      </w:r>
      <w:r w:rsidR="007C7324">
        <w:rPr>
          <w:rFonts w:ascii="Arial" w:hAnsi="Arial" w:cs="Arial"/>
          <w:bCs/>
          <w:sz w:val="24"/>
        </w:rPr>
        <w:t xml:space="preserve"> (</w:t>
      </w:r>
      <w:r w:rsidR="00737DD3">
        <w:rPr>
          <w:rFonts w:ascii="Arial" w:hAnsi="Arial" w:cs="Arial"/>
          <w:bCs/>
          <w:sz w:val="24"/>
        </w:rPr>
        <w:t>no mostrada</w:t>
      </w:r>
      <w:r w:rsidR="007C7324">
        <w:rPr>
          <w:rFonts w:ascii="Arial" w:hAnsi="Arial" w:cs="Arial"/>
          <w:bCs/>
          <w:sz w:val="24"/>
        </w:rPr>
        <w:t>)</w:t>
      </w:r>
      <w:r w:rsidR="007C7324" w:rsidRPr="007C7324">
        <w:rPr>
          <w:rFonts w:ascii="Arial" w:hAnsi="Arial" w:cs="Arial"/>
          <w:bCs/>
          <w:sz w:val="24"/>
        </w:rPr>
        <w:t>, se determinó que el área de trabajo efectiva es de 0.1878 cm</w:t>
      </w:r>
      <w:r w:rsidR="007C7324" w:rsidRPr="007C7324">
        <w:rPr>
          <w:rFonts w:ascii="Arial" w:hAnsi="Arial" w:cs="Arial"/>
          <w:bCs/>
          <w:sz w:val="24"/>
          <w:vertAlign w:val="superscript"/>
        </w:rPr>
        <w:t>2</w:t>
      </w:r>
      <w:r>
        <w:rPr>
          <w:rFonts w:ascii="Arial" w:hAnsi="Arial" w:cs="Arial"/>
          <w:bCs/>
          <w:sz w:val="24"/>
        </w:rPr>
        <w:t xml:space="preserve"> (área de electrodo sin modificar: 0.07 cm</w:t>
      </w:r>
      <w:r>
        <w:rPr>
          <w:rFonts w:ascii="Arial" w:hAnsi="Arial" w:cs="Arial"/>
          <w:bCs/>
          <w:sz w:val="24"/>
          <w:vertAlign w:val="superscript"/>
        </w:rPr>
        <w:t>2</w:t>
      </w:r>
      <w:r>
        <w:rPr>
          <w:rFonts w:ascii="Arial" w:hAnsi="Arial" w:cs="Arial"/>
          <w:bCs/>
          <w:sz w:val="24"/>
        </w:rPr>
        <w:t>)</w:t>
      </w:r>
      <w:r w:rsidR="007C7324" w:rsidRPr="007C7324">
        <w:rPr>
          <w:rFonts w:ascii="Arial" w:hAnsi="Arial" w:cs="Arial"/>
          <w:bCs/>
          <w:sz w:val="24"/>
        </w:rPr>
        <w:t xml:space="preserve">. Este aumento en el área es consistente con los resultados obtenidos por EIS, </w:t>
      </w:r>
      <w:r w:rsidR="00F75B71">
        <w:rPr>
          <w:rFonts w:ascii="Arial" w:hAnsi="Arial" w:cs="Arial"/>
          <w:bCs/>
          <w:sz w:val="24"/>
        </w:rPr>
        <w:t xml:space="preserve">específicamente </w:t>
      </w:r>
      <w:r w:rsidR="00864295">
        <w:rPr>
          <w:rFonts w:ascii="Arial" w:hAnsi="Arial" w:cs="Arial"/>
          <w:bCs/>
          <w:sz w:val="24"/>
        </w:rPr>
        <w:t>con</w:t>
      </w:r>
      <w:r w:rsidR="007C7324" w:rsidRPr="007C7324">
        <w:rPr>
          <w:rFonts w:ascii="Arial" w:hAnsi="Arial" w:cs="Arial"/>
          <w:bCs/>
          <w:sz w:val="24"/>
        </w:rPr>
        <w:t xml:space="preserve"> el aumento de </w:t>
      </w:r>
      <w:proofErr w:type="spellStart"/>
      <w:r w:rsidR="007C7324" w:rsidRPr="007C7324">
        <w:rPr>
          <w:rFonts w:ascii="Arial" w:hAnsi="Arial" w:cs="Arial"/>
          <w:bCs/>
          <w:sz w:val="24"/>
        </w:rPr>
        <w:t>C</w:t>
      </w:r>
      <w:r w:rsidR="007C7324" w:rsidRPr="00737DD3">
        <w:rPr>
          <w:rFonts w:ascii="Arial" w:hAnsi="Arial" w:cs="Arial"/>
          <w:bCs/>
          <w:sz w:val="24"/>
          <w:vertAlign w:val="subscript"/>
        </w:rPr>
        <w:t>dl</w:t>
      </w:r>
      <w:proofErr w:type="spellEnd"/>
      <w:r w:rsidR="00864295">
        <w:rPr>
          <w:rFonts w:ascii="Arial" w:hAnsi="Arial" w:cs="Arial"/>
          <w:bCs/>
          <w:sz w:val="24"/>
          <w:vertAlign w:val="subscript"/>
        </w:rPr>
        <w:t xml:space="preserve"> </w:t>
      </w:r>
      <w:r w:rsidR="00864295">
        <w:rPr>
          <w:rFonts w:ascii="Arial" w:hAnsi="Arial" w:cs="Arial"/>
          <w:bCs/>
          <w:sz w:val="24"/>
        </w:rPr>
        <w:t xml:space="preserve">registrado. </w:t>
      </w:r>
    </w:p>
    <w:p w14:paraId="5D654D07" w14:textId="67D66695" w:rsidR="008E39DC" w:rsidRDefault="008E39DC" w:rsidP="007C75E9">
      <w:pPr>
        <w:tabs>
          <w:tab w:val="left" w:pos="2145"/>
        </w:tabs>
        <w:spacing w:line="360" w:lineRule="auto"/>
        <w:jc w:val="both"/>
        <w:rPr>
          <w:rFonts w:ascii="Arial" w:hAnsi="Arial" w:cs="Arial"/>
          <w:bCs/>
          <w:sz w:val="24"/>
        </w:rPr>
      </w:pPr>
    </w:p>
    <w:p w14:paraId="12271356" w14:textId="5AEA15BB" w:rsidR="008E39DC" w:rsidRDefault="008E39DC" w:rsidP="007C75E9">
      <w:pPr>
        <w:tabs>
          <w:tab w:val="left" w:pos="2145"/>
        </w:tabs>
        <w:spacing w:line="360" w:lineRule="auto"/>
        <w:jc w:val="both"/>
        <w:rPr>
          <w:rFonts w:ascii="Arial" w:hAnsi="Arial" w:cs="Arial"/>
          <w:bCs/>
          <w:sz w:val="24"/>
        </w:rPr>
      </w:pPr>
    </w:p>
    <w:p w14:paraId="05F13315" w14:textId="77777777" w:rsidR="008E39DC" w:rsidRDefault="008E39DC" w:rsidP="007C75E9">
      <w:pPr>
        <w:tabs>
          <w:tab w:val="left" w:pos="2145"/>
        </w:tabs>
        <w:spacing w:line="360" w:lineRule="auto"/>
        <w:jc w:val="both"/>
        <w:rPr>
          <w:rFonts w:ascii="Arial" w:hAnsi="Arial" w:cs="Arial"/>
          <w:bCs/>
          <w:sz w:val="24"/>
        </w:rPr>
      </w:pPr>
    </w:p>
    <w:p w14:paraId="4144A614" w14:textId="3E497AA9" w:rsidR="008E39DC" w:rsidRDefault="008E39DC" w:rsidP="007C75E9">
      <w:pPr>
        <w:tabs>
          <w:tab w:val="left" w:pos="2145"/>
        </w:tabs>
        <w:spacing w:line="360" w:lineRule="auto"/>
        <w:jc w:val="both"/>
        <w:rPr>
          <w:rFonts w:ascii="Arial" w:hAnsi="Arial" w:cs="Arial"/>
          <w:bCs/>
          <w:sz w:val="24"/>
        </w:rPr>
      </w:pPr>
    </w:p>
    <w:p w14:paraId="23F3768B" w14:textId="4E178178" w:rsidR="008E39DC" w:rsidRDefault="008E39DC" w:rsidP="007C75E9">
      <w:pPr>
        <w:tabs>
          <w:tab w:val="left" w:pos="2145"/>
        </w:tabs>
        <w:spacing w:line="360" w:lineRule="auto"/>
        <w:jc w:val="both"/>
        <w:rPr>
          <w:rFonts w:ascii="Arial" w:hAnsi="Arial" w:cs="Arial"/>
          <w:bCs/>
          <w:sz w:val="24"/>
        </w:rPr>
      </w:pPr>
    </w:p>
    <w:p w14:paraId="76CEC3AA" w14:textId="1C1A35F2" w:rsidR="008E39DC" w:rsidRDefault="008E39DC" w:rsidP="007C75E9">
      <w:pPr>
        <w:tabs>
          <w:tab w:val="left" w:pos="2145"/>
        </w:tabs>
        <w:spacing w:line="360" w:lineRule="auto"/>
        <w:jc w:val="both"/>
        <w:rPr>
          <w:rFonts w:ascii="Arial" w:hAnsi="Arial" w:cs="Arial"/>
          <w:bCs/>
          <w:sz w:val="24"/>
        </w:rPr>
      </w:pPr>
      <w:r>
        <w:rPr>
          <w:rFonts w:ascii="Arial" w:hAnsi="Arial" w:cs="Arial"/>
          <w:bCs/>
          <w:sz w:val="24"/>
        </w:rPr>
        <w:br/>
      </w:r>
    </w:p>
    <w:p w14:paraId="07F849A8" w14:textId="6C7244E1" w:rsidR="008E39DC" w:rsidRDefault="008E39DC" w:rsidP="007C75E9">
      <w:pPr>
        <w:tabs>
          <w:tab w:val="left" w:pos="2145"/>
        </w:tabs>
        <w:spacing w:line="360" w:lineRule="auto"/>
        <w:jc w:val="both"/>
        <w:rPr>
          <w:rFonts w:ascii="Arial" w:hAnsi="Arial" w:cs="Arial"/>
          <w:bCs/>
          <w:sz w:val="20"/>
          <w:szCs w:val="18"/>
        </w:rPr>
      </w:pPr>
      <w:r w:rsidRPr="00737DD3">
        <w:rPr>
          <w:rFonts w:ascii="Arial" w:hAnsi="Arial" w:cs="Arial"/>
          <w:b/>
          <w:sz w:val="20"/>
          <w:szCs w:val="18"/>
        </w:rPr>
        <w:t xml:space="preserve">Figura </w:t>
      </w:r>
      <w:r w:rsidR="00864295">
        <w:rPr>
          <w:rFonts w:ascii="Arial" w:hAnsi="Arial" w:cs="Arial"/>
          <w:b/>
          <w:sz w:val="20"/>
          <w:szCs w:val="18"/>
        </w:rPr>
        <w:t>4</w:t>
      </w:r>
      <w:r w:rsidRPr="00737DD3">
        <w:rPr>
          <w:rFonts w:ascii="Arial" w:hAnsi="Arial" w:cs="Arial"/>
          <w:b/>
          <w:sz w:val="20"/>
          <w:szCs w:val="18"/>
        </w:rPr>
        <w:t>.</w:t>
      </w:r>
      <w:r w:rsidRPr="00737DD3">
        <w:rPr>
          <w:rFonts w:ascii="Arial" w:hAnsi="Arial" w:cs="Arial"/>
          <w:bCs/>
          <w:sz w:val="20"/>
          <w:szCs w:val="18"/>
        </w:rPr>
        <w:t xml:space="preserve"> </w:t>
      </w:r>
      <w:r>
        <w:rPr>
          <w:rFonts w:ascii="Arial" w:hAnsi="Arial" w:cs="Arial"/>
          <w:bCs/>
          <w:sz w:val="20"/>
          <w:szCs w:val="18"/>
        </w:rPr>
        <w:t>SWV</w:t>
      </w:r>
      <w:r w:rsidRPr="00737DD3">
        <w:rPr>
          <w:rFonts w:ascii="Arial" w:hAnsi="Arial" w:cs="Arial"/>
          <w:bCs/>
          <w:sz w:val="20"/>
          <w:szCs w:val="18"/>
        </w:rPr>
        <w:t xml:space="preserve"> de </w:t>
      </w:r>
      <w:proofErr w:type="gramStart"/>
      <w:r w:rsidRPr="00737DD3">
        <w:rPr>
          <w:rFonts w:ascii="Arial" w:hAnsi="Arial" w:cs="Arial"/>
          <w:bCs/>
          <w:sz w:val="20"/>
          <w:szCs w:val="18"/>
        </w:rPr>
        <w:t>Cd</w:t>
      </w:r>
      <w:r>
        <w:rPr>
          <w:rFonts w:ascii="Arial" w:hAnsi="Arial" w:cs="Arial"/>
          <w:bCs/>
          <w:sz w:val="20"/>
          <w:szCs w:val="18"/>
        </w:rPr>
        <w:t>(</w:t>
      </w:r>
      <w:proofErr w:type="gramEnd"/>
      <w:r w:rsidRPr="00737DD3">
        <w:rPr>
          <w:rFonts w:ascii="Arial" w:hAnsi="Arial" w:cs="Arial"/>
          <w:bCs/>
          <w:sz w:val="20"/>
          <w:szCs w:val="18"/>
        </w:rPr>
        <w:t>II) 30 μg L</w:t>
      </w:r>
      <w:r w:rsidRPr="00F75B71">
        <w:rPr>
          <w:rFonts w:ascii="Arial" w:hAnsi="Arial" w:cs="Arial"/>
          <w:bCs/>
          <w:sz w:val="20"/>
          <w:szCs w:val="18"/>
          <w:vertAlign w:val="superscript"/>
        </w:rPr>
        <w:t>-1</w:t>
      </w:r>
      <w:r w:rsidRPr="00737DD3">
        <w:rPr>
          <w:rFonts w:ascii="Arial" w:hAnsi="Arial" w:cs="Arial"/>
          <w:bCs/>
          <w:sz w:val="20"/>
          <w:szCs w:val="18"/>
        </w:rPr>
        <w:t xml:space="preserve"> en HCl 0.1 M. E</w:t>
      </w:r>
      <w:r w:rsidRPr="00737DD3">
        <w:rPr>
          <w:rFonts w:ascii="Arial" w:hAnsi="Arial" w:cs="Arial"/>
          <w:bCs/>
          <w:sz w:val="20"/>
          <w:szCs w:val="18"/>
          <w:vertAlign w:val="subscript"/>
        </w:rPr>
        <w:t>SW</w:t>
      </w:r>
      <w:r w:rsidRPr="00737DD3">
        <w:rPr>
          <w:rFonts w:ascii="Arial" w:hAnsi="Arial" w:cs="Arial"/>
          <w:bCs/>
          <w:sz w:val="20"/>
          <w:szCs w:val="18"/>
        </w:rPr>
        <w:t xml:space="preserve">: 25 mV, </w:t>
      </w:r>
      <w:r w:rsidRPr="00737DD3">
        <w:rPr>
          <w:rFonts w:ascii="Arial" w:hAnsi="Arial" w:cs="Arial"/>
          <w:bCs/>
          <w:i/>
          <w:iCs/>
          <w:sz w:val="20"/>
          <w:szCs w:val="18"/>
        </w:rPr>
        <w:t>f</w:t>
      </w:r>
      <w:r w:rsidRPr="00737DD3">
        <w:rPr>
          <w:rFonts w:ascii="Arial" w:hAnsi="Arial" w:cs="Arial"/>
          <w:bCs/>
          <w:sz w:val="20"/>
          <w:szCs w:val="18"/>
        </w:rPr>
        <w:t>: 100 Hz.</w:t>
      </w:r>
    </w:p>
    <w:p w14:paraId="1F10237A" w14:textId="0B3CAF95" w:rsidR="007C7324" w:rsidRPr="008E39DC" w:rsidRDefault="007C7324" w:rsidP="007C75E9">
      <w:pPr>
        <w:tabs>
          <w:tab w:val="left" w:pos="2145"/>
        </w:tabs>
        <w:spacing w:line="360" w:lineRule="auto"/>
        <w:jc w:val="both"/>
        <w:rPr>
          <w:rFonts w:ascii="Arial" w:hAnsi="Arial" w:cs="Arial"/>
          <w:bCs/>
          <w:sz w:val="20"/>
          <w:szCs w:val="18"/>
        </w:rPr>
      </w:pPr>
      <w:r w:rsidRPr="007C7324">
        <w:rPr>
          <w:rFonts w:ascii="Arial" w:hAnsi="Arial" w:cs="Arial"/>
          <w:bCs/>
          <w:sz w:val="24"/>
        </w:rPr>
        <w:t>Por voltam</w:t>
      </w:r>
      <w:r>
        <w:rPr>
          <w:rFonts w:ascii="Arial" w:hAnsi="Arial" w:cs="Arial"/>
          <w:bCs/>
          <w:sz w:val="24"/>
        </w:rPr>
        <w:t>perom</w:t>
      </w:r>
      <w:r w:rsidRPr="007C7324">
        <w:rPr>
          <w:rFonts w:ascii="Arial" w:hAnsi="Arial" w:cs="Arial"/>
          <w:bCs/>
          <w:sz w:val="24"/>
        </w:rPr>
        <w:t xml:space="preserve">etría de onda cuadrada (SWV) se </w:t>
      </w:r>
      <w:r>
        <w:rPr>
          <w:rFonts w:ascii="Arial" w:hAnsi="Arial" w:cs="Arial"/>
          <w:bCs/>
          <w:sz w:val="24"/>
        </w:rPr>
        <w:t>evaluó p</w:t>
      </w:r>
      <w:r w:rsidRPr="007C7324">
        <w:rPr>
          <w:rFonts w:ascii="Arial" w:hAnsi="Arial" w:cs="Arial"/>
          <w:bCs/>
          <w:sz w:val="24"/>
        </w:rPr>
        <w:t xml:space="preserve">reliminarmente el electrodo modificado en una </w:t>
      </w:r>
      <w:r>
        <w:rPr>
          <w:rFonts w:ascii="Arial" w:hAnsi="Arial" w:cs="Arial"/>
          <w:bCs/>
          <w:sz w:val="24"/>
        </w:rPr>
        <w:t>di</w:t>
      </w:r>
      <w:r w:rsidRPr="007C7324">
        <w:rPr>
          <w:rFonts w:ascii="Arial" w:hAnsi="Arial" w:cs="Arial"/>
          <w:bCs/>
          <w:sz w:val="24"/>
        </w:rPr>
        <w:t xml:space="preserve">solución de </w:t>
      </w:r>
      <w:proofErr w:type="gramStart"/>
      <w:r w:rsidRPr="007C7324">
        <w:rPr>
          <w:rFonts w:ascii="Arial" w:hAnsi="Arial" w:cs="Arial"/>
          <w:bCs/>
          <w:sz w:val="24"/>
        </w:rPr>
        <w:t>Cd(</w:t>
      </w:r>
      <w:proofErr w:type="gramEnd"/>
      <w:r w:rsidRPr="007C7324">
        <w:rPr>
          <w:rFonts w:ascii="Arial" w:hAnsi="Arial" w:cs="Arial"/>
          <w:bCs/>
          <w:sz w:val="24"/>
        </w:rPr>
        <w:t>II) 30 μg L</w:t>
      </w:r>
      <w:r w:rsidRPr="007C7324">
        <w:rPr>
          <w:rFonts w:ascii="Arial" w:hAnsi="Arial" w:cs="Arial"/>
          <w:bCs/>
          <w:sz w:val="24"/>
          <w:vertAlign w:val="superscript"/>
        </w:rPr>
        <w:t>-1</w:t>
      </w:r>
      <w:r w:rsidRPr="007C7324">
        <w:rPr>
          <w:rFonts w:ascii="Arial" w:hAnsi="Arial" w:cs="Arial"/>
          <w:bCs/>
          <w:sz w:val="24"/>
        </w:rPr>
        <w:t xml:space="preserve"> en HCl 0.1 M. </w:t>
      </w:r>
      <w:r>
        <w:rPr>
          <w:rFonts w:ascii="Arial" w:hAnsi="Arial" w:cs="Arial"/>
          <w:bCs/>
          <w:sz w:val="24"/>
        </w:rPr>
        <w:t>Se utilizaron p</w:t>
      </w:r>
      <w:r w:rsidRPr="007C7324">
        <w:rPr>
          <w:rFonts w:ascii="Arial" w:hAnsi="Arial" w:cs="Arial"/>
          <w:bCs/>
          <w:sz w:val="24"/>
        </w:rPr>
        <w:t xml:space="preserve">arámetros estándar de SWV: </w:t>
      </w:r>
      <w:proofErr w:type="spellStart"/>
      <w:r w:rsidRPr="007C7324">
        <w:rPr>
          <w:rFonts w:ascii="Arial" w:hAnsi="Arial" w:cs="Arial"/>
          <w:bCs/>
          <w:sz w:val="24"/>
        </w:rPr>
        <w:t>E</w:t>
      </w:r>
      <w:r w:rsidRPr="007C7324">
        <w:rPr>
          <w:rFonts w:ascii="Arial" w:hAnsi="Arial" w:cs="Arial"/>
          <w:bCs/>
          <w:sz w:val="24"/>
          <w:vertAlign w:val="subscript"/>
        </w:rPr>
        <w:t>step</w:t>
      </w:r>
      <w:proofErr w:type="spellEnd"/>
      <w:r w:rsidRPr="007C7324">
        <w:rPr>
          <w:rFonts w:ascii="Arial" w:hAnsi="Arial" w:cs="Arial"/>
          <w:bCs/>
          <w:sz w:val="24"/>
        </w:rPr>
        <w:t>=25 mV y E</w:t>
      </w:r>
      <w:r w:rsidRPr="007C7324">
        <w:rPr>
          <w:rFonts w:ascii="Arial" w:hAnsi="Arial" w:cs="Arial"/>
          <w:bCs/>
          <w:sz w:val="24"/>
          <w:vertAlign w:val="subscript"/>
        </w:rPr>
        <w:t>SW</w:t>
      </w:r>
      <w:r w:rsidRPr="007C7324">
        <w:rPr>
          <w:rFonts w:ascii="Arial" w:hAnsi="Arial" w:cs="Arial"/>
          <w:bCs/>
          <w:sz w:val="24"/>
        </w:rPr>
        <w:t xml:space="preserve"> = 5 mV</w:t>
      </w:r>
      <w:r w:rsidR="00EE4A84">
        <w:rPr>
          <w:rFonts w:ascii="Arial" w:hAnsi="Arial" w:cs="Arial"/>
          <w:bCs/>
          <w:sz w:val="24"/>
        </w:rPr>
        <w:t xml:space="preserve"> </w:t>
      </w:r>
      <w:r w:rsidR="00EE4A84">
        <w:rPr>
          <w:rFonts w:ascii="Arial" w:hAnsi="Arial" w:cs="Arial"/>
          <w:bCs/>
          <w:sz w:val="24"/>
        </w:rPr>
        <w:fldChar w:fldCharType="begin" w:fldLock="1"/>
      </w:r>
      <w:r w:rsidR="00F64F7C">
        <w:rPr>
          <w:rFonts w:ascii="Arial" w:hAnsi="Arial" w:cs="Arial"/>
          <w:bCs/>
          <w:sz w:val="24"/>
        </w:rPr>
        <w:instrText>ADDIN CSL_CITATION {"citationItems":[{"id":"ITEM-1","itemData":{"ISBN":"9780471700586","ISSN":"1064-3745","PMID":"15897611","abstract":"The purpose of this chapter is to delineate strategic considerations and provide practical procedures to enable non-experts to synthesize peptides with a reasonable chance of success. This chapter focuses on Fmoc chemistry, which is now the most commonly employed strategy for solid phase peptide synthesis (SPPS). Protocols for the synthesis of fully deprotected peptides are presented, together with a review of linkers and supports currently employed for SPPS. The principles and the different steps of SPPS (anchoring, deprotection, coupling reaction, and cleavage) are all discussed, along with their possible side reactions.","author":[{"dropping-particle":"","family":"Bard","given":"Allen J.","non-dropping-particle":"","parse-names":false,"suffix":""},{"dropping-particle":"","family":"Faulkner","given":"Larry R.","non-dropping-particle":"","parse-names":false,"suffix":""},{"dropping-particle":"","family":"Bagotsky","given":"V. S.","non-dropping-particle":"","parse-names":false,"suffix":""}],"container-title":"John Wiley &amp; Sons, Inc.","id":"ITEM-1","issued":{"date-parts":[["2001"]]},"title":"Electrochemical Methods Fundamentals of Electrochemistry","type":"book"},"uris":["http://www.mendeley.com/documents/?uuid=b541d00b-673a-4ff8-b509-675c7509533a"]}],"mendeley":{"formattedCitation":"(Bard, Faulkner, &amp; Bagotsky, 2001)","manualFormatting":"(Bard, Faulkner y Bagotsky, 2001)","plainTextFormattedCitation":"(Bard, Faulkner, &amp; Bagotsky, 2001)","previouslyFormattedCitation":"(Bard, Faulkner, &amp; Bagotsky, 2001)"},"properties":{"noteIndex":0},"schema":"https://github.com/citation-style-language/schema/raw/master/csl-citation.json"}</w:instrText>
      </w:r>
      <w:r w:rsidR="00EE4A84">
        <w:rPr>
          <w:rFonts w:ascii="Arial" w:hAnsi="Arial" w:cs="Arial"/>
          <w:bCs/>
          <w:sz w:val="24"/>
        </w:rPr>
        <w:fldChar w:fldCharType="separate"/>
      </w:r>
      <w:r w:rsidR="00EE4A84" w:rsidRPr="00EE4A84">
        <w:rPr>
          <w:rFonts w:ascii="Arial" w:hAnsi="Arial" w:cs="Arial"/>
          <w:bCs/>
          <w:noProof/>
          <w:sz w:val="24"/>
        </w:rPr>
        <w:t xml:space="preserve">(Bard, Faulkner </w:t>
      </w:r>
      <w:r w:rsidR="00EE4A84">
        <w:rPr>
          <w:rFonts w:ascii="Arial" w:hAnsi="Arial" w:cs="Arial"/>
          <w:bCs/>
          <w:noProof/>
          <w:sz w:val="24"/>
        </w:rPr>
        <w:t>y</w:t>
      </w:r>
      <w:r w:rsidR="00EE4A84" w:rsidRPr="00EE4A84">
        <w:rPr>
          <w:rFonts w:ascii="Arial" w:hAnsi="Arial" w:cs="Arial"/>
          <w:bCs/>
          <w:noProof/>
          <w:sz w:val="24"/>
        </w:rPr>
        <w:t xml:space="preserve"> Bagotsky, 2001)</w:t>
      </w:r>
      <w:r w:rsidR="00EE4A84">
        <w:rPr>
          <w:rFonts w:ascii="Arial" w:hAnsi="Arial" w:cs="Arial"/>
          <w:bCs/>
          <w:sz w:val="24"/>
        </w:rPr>
        <w:fldChar w:fldCharType="end"/>
      </w:r>
      <w:r>
        <w:rPr>
          <w:rFonts w:ascii="Arial" w:hAnsi="Arial" w:cs="Arial"/>
          <w:bCs/>
          <w:sz w:val="24"/>
        </w:rPr>
        <w:t>.</w:t>
      </w:r>
      <w:r w:rsidRPr="007C7324">
        <w:rPr>
          <w:rFonts w:ascii="Arial" w:hAnsi="Arial" w:cs="Arial"/>
          <w:bCs/>
          <w:sz w:val="24"/>
        </w:rPr>
        <w:t xml:space="preserve"> </w:t>
      </w:r>
      <w:r w:rsidR="00864295">
        <w:rPr>
          <w:rFonts w:ascii="Arial" w:hAnsi="Arial" w:cs="Arial"/>
          <w:bCs/>
          <w:sz w:val="24"/>
        </w:rPr>
        <w:t>En l</w:t>
      </w:r>
      <w:r w:rsidRPr="007C7324">
        <w:rPr>
          <w:rFonts w:ascii="Arial" w:hAnsi="Arial" w:cs="Arial"/>
          <w:bCs/>
          <w:sz w:val="24"/>
        </w:rPr>
        <w:t xml:space="preserve">a </w:t>
      </w:r>
      <w:r>
        <w:rPr>
          <w:rFonts w:ascii="Arial" w:hAnsi="Arial" w:cs="Arial"/>
          <w:bCs/>
          <w:sz w:val="24"/>
        </w:rPr>
        <w:t>F</w:t>
      </w:r>
      <w:r w:rsidRPr="007C7324">
        <w:rPr>
          <w:rFonts w:ascii="Arial" w:hAnsi="Arial" w:cs="Arial"/>
          <w:bCs/>
          <w:sz w:val="24"/>
        </w:rPr>
        <w:t xml:space="preserve">igura </w:t>
      </w:r>
      <w:r w:rsidR="00864295">
        <w:rPr>
          <w:rFonts w:ascii="Arial" w:hAnsi="Arial" w:cs="Arial"/>
          <w:bCs/>
          <w:sz w:val="24"/>
        </w:rPr>
        <w:t>4</w:t>
      </w:r>
      <w:r w:rsidRPr="007C7324">
        <w:rPr>
          <w:rFonts w:ascii="Arial" w:hAnsi="Arial" w:cs="Arial"/>
          <w:bCs/>
          <w:sz w:val="24"/>
        </w:rPr>
        <w:t xml:space="preserve"> </w:t>
      </w:r>
      <w:r w:rsidR="00864295">
        <w:rPr>
          <w:rFonts w:ascii="Arial" w:hAnsi="Arial" w:cs="Arial"/>
          <w:bCs/>
          <w:sz w:val="24"/>
        </w:rPr>
        <w:t>s</w:t>
      </w:r>
      <w:r>
        <w:rPr>
          <w:rFonts w:ascii="Arial" w:hAnsi="Arial" w:cs="Arial"/>
          <w:bCs/>
          <w:sz w:val="24"/>
        </w:rPr>
        <w:t>e observó u</w:t>
      </w:r>
      <w:r w:rsidRPr="007C7324">
        <w:rPr>
          <w:rFonts w:ascii="Arial" w:hAnsi="Arial" w:cs="Arial"/>
          <w:bCs/>
          <w:sz w:val="24"/>
        </w:rPr>
        <w:t xml:space="preserve">n pico muy definido </w:t>
      </w:r>
      <w:r>
        <w:rPr>
          <w:rFonts w:ascii="Arial" w:hAnsi="Arial" w:cs="Arial"/>
          <w:bCs/>
          <w:sz w:val="24"/>
        </w:rPr>
        <w:t xml:space="preserve">correspondiente a la </w:t>
      </w:r>
      <w:r w:rsidRPr="007C7324">
        <w:rPr>
          <w:rFonts w:ascii="Arial" w:hAnsi="Arial" w:cs="Arial"/>
          <w:bCs/>
          <w:sz w:val="24"/>
        </w:rPr>
        <w:t xml:space="preserve">oxidación de </w:t>
      </w:r>
      <w:proofErr w:type="gramStart"/>
      <w:r w:rsidRPr="007C7324">
        <w:rPr>
          <w:rFonts w:ascii="Arial" w:hAnsi="Arial" w:cs="Arial"/>
          <w:bCs/>
          <w:sz w:val="24"/>
        </w:rPr>
        <w:t>Cd(</w:t>
      </w:r>
      <w:proofErr w:type="gramEnd"/>
      <w:r w:rsidRPr="007C7324">
        <w:rPr>
          <w:rFonts w:ascii="Arial" w:hAnsi="Arial" w:cs="Arial"/>
          <w:bCs/>
          <w:sz w:val="24"/>
        </w:rPr>
        <w:t xml:space="preserve">II), con MWCNT-Chit/GCE a -0.8 V </w:t>
      </w:r>
      <w:r w:rsidRPr="007C7324">
        <w:rPr>
          <w:rFonts w:ascii="Arial" w:hAnsi="Arial" w:cs="Arial"/>
          <w:bCs/>
          <w:i/>
          <w:iCs/>
          <w:sz w:val="24"/>
        </w:rPr>
        <w:t xml:space="preserve">vs. </w:t>
      </w:r>
      <w:r w:rsidRPr="007C7324">
        <w:rPr>
          <w:rFonts w:ascii="Arial" w:hAnsi="Arial" w:cs="Arial"/>
          <w:bCs/>
          <w:sz w:val="24"/>
        </w:rPr>
        <w:t>SCE. En el caso del electrodo</w:t>
      </w:r>
      <w:r w:rsidR="00864295">
        <w:rPr>
          <w:rFonts w:ascii="Arial" w:hAnsi="Arial" w:cs="Arial"/>
          <w:bCs/>
          <w:sz w:val="24"/>
        </w:rPr>
        <w:t xml:space="preserve"> de carbon vitreo sin modificar</w:t>
      </w:r>
      <w:r w:rsidRPr="007C7324">
        <w:rPr>
          <w:rFonts w:ascii="Arial" w:hAnsi="Arial" w:cs="Arial"/>
          <w:bCs/>
          <w:sz w:val="24"/>
        </w:rPr>
        <w:t>, solo se observó ruido instrumental</w:t>
      </w:r>
      <w:r>
        <w:rPr>
          <w:rFonts w:ascii="Arial" w:hAnsi="Arial" w:cs="Arial"/>
          <w:bCs/>
          <w:sz w:val="24"/>
        </w:rPr>
        <w:t>.</w:t>
      </w:r>
    </w:p>
    <w:p w14:paraId="4EA3AF80" w14:textId="0ECD9085" w:rsidR="007C7324" w:rsidRPr="00737DD3" w:rsidRDefault="00737DD3" w:rsidP="007C75E9">
      <w:pPr>
        <w:tabs>
          <w:tab w:val="left" w:pos="2145"/>
        </w:tabs>
        <w:spacing w:line="360" w:lineRule="auto"/>
        <w:jc w:val="both"/>
        <w:rPr>
          <w:rFonts w:ascii="Arial" w:hAnsi="Arial" w:cs="Arial"/>
          <w:bCs/>
          <w:i/>
          <w:iCs/>
          <w:sz w:val="24"/>
          <w:u w:val="single"/>
        </w:rPr>
      </w:pPr>
      <w:r>
        <w:rPr>
          <w:rFonts w:ascii="Arial" w:hAnsi="Arial" w:cs="Arial"/>
          <w:bCs/>
          <w:i/>
          <w:iCs/>
          <w:sz w:val="24"/>
          <w:u w:val="single"/>
        </w:rPr>
        <w:t>Curva de calibración</w:t>
      </w:r>
    </w:p>
    <w:p w14:paraId="186B103D" w14:textId="55BACEC7" w:rsidR="005C44C1" w:rsidRDefault="00701B96" w:rsidP="007C75E9">
      <w:pPr>
        <w:tabs>
          <w:tab w:val="left" w:pos="2145"/>
        </w:tabs>
        <w:spacing w:line="360" w:lineRule="auto"/>
        <w:jc w:val="both"/>
        <w:rPr>
          <w:rFonts w:ascii="Arial" w:hAnsi="Arial" w:cs="Arial"/>
          <w:bCs/>
          <w:sz w:val="24"/>
        </w:rPr>
      </w:pPr>
      <w:r w:rsidRPr="00F9543C">
        <w:rPr>
          <w:noProof/>
        </w:rPr>
        <w:drawing>
          <wp:anchor distT="0" distB="0" distL="114300" distR="114300" simplePos="0" relativeHeight="251776000" behindDoc="1" locked="0" layoutInCell="1" allowOverlap="1" wp14:anchorId="20DFB7ED" wp14:editId="2190B3DD">
            <wp:simplePos x="0" y="0"/>
            <wp:positionH relativeFrom="margin">
              <wp:posOffset>-51908</wp:posOffset>
            </wp:positionH>
            <wp:positionV relativeFrom="paragraph">
              <wp:posOffset>645160</wp:posOffset>
            </wp:positionV>
            <wp:extent cx="2870200" cy="24447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5994" t="9929" r="11715" b="3891"/>
                    <a:stretch/>
                  </pic:blipFill>
                  <pic:spPr bwMode="auto">
                    <a:xfrm>
                      <a:off x="0" y="0"/>
                      <a:ext cx="2870200" cy="2444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9543C">
        <w:rPr>
          <w:noProof/>
        </w:rPr>
        <w:drawing>
          <wp:anchor distT="0" distB="0" distL="114300" distR="114300" simplePos="0" relativeHeight="251777024" behindDoc="1" locked="0" layoutInCell="1" allowOverlap="1" wp14:anchorId="7A339530" wp14:editId="7A9B7DA2">
            <wp:simplePos x="0" y="0"/>
            <wp:positionH relativeFrom="margin">
              <wp:posOffset>2817333</wp:posOffset>
            </wp:positionH>
            <wp:positionV relativeFrom="paragraph">
              <wp:posOffset>623570</wp:posOffset>
            </wp:positionV>
            <wp:extent cx="2870200" cy="2507615"/>
            <wp:effectExtent l="0" t="0" r="6350" b="698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5116" t="8892" r="11899" b="2170"/>
                    <a:stretch/>
                  </pic:blipFill>
                  <pic:spPr bwMode="auto">
                    <a:xfrm>
                      <a:off x="0" y="0"/>
                      <a:ext cx="2870200" cy="25076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37DD3" w:rsidRPr="00737DD3">
        <w:rPr>
          <w:rFonts w:ascii="Arial" w:hAnsi="Arial" w:cs="Arial"/>
          <w:bCs/>
          <w:sz w:val="24"/>
        </w:rPr>
        <w:t xml:space="preserve">Para verificar la correlación entre la corriente y la concentración, se construyó una curva de calibración </w:t>
      </w:r>
      <w:r w:rsidR="008E39DC">
        <w:rPr>
          <w:rFonts w:ascii="Arial" w:hAnsi="Arial" w:cs="Arial"/>
          <w:bCs/>
          <w:sz w:val="24"/>
        </w:rPr>
        <w:t>con</w:t>
      </w:r>
      <w:r w:rsidR="00737DD3" w:rsidRPr="00737DD3">
        <w:rPr>
          <w:rFonts w:ascii="Arial" w:hAnsi="Arial" w:cs="Arial"/>
          <w:bCs/>
          <w:sz w:val="24"/>
        </w:rPr>
        <w:t xml:space="preserve"> concentraciones de </w:t>
      </w:r>
      <w:proofErr w:type="gramStart"/>
      <w:r w:rsidR="00737DD3" w:rsidRPr="00737DD3">
        <w:rPr>
          <w:rFonts w:ascii="Arial" w:hAnsi="Arial" w:cs="Arial"/>
          <w:bCs/>
          <w:sz w:val="24"/>
        </w:rPr>
        <w:t>Cd(</w:t>
      </w:r>
      <w:proofErr w:type="gramEnd"/>
      <w:r w:rsidR="00737DD3" w:rsidRPr="00737DD3">
        <w:rPr>
          <w:rFonts w:ascii="Arial" w:hAnsi="Arial" w:cs="Arial"/>
          <w:bCs/>
          <w:sz w:val="24"/>
        </w:rPr>
        <w:t xml:space="preserve">II) en un </w:t>
      </w:r>
      <w:r w:rsidR="005C44C1">
        <w:rPr>
          <w:rFonts w:ascii="Arial" w:hAnsi="Arial" w:cs="Arial"/>
          <w:bCs/>
          <w:sz w:val="24"/>
        </w:rPr>
        <w:t>intervalo</w:t>
      </w:r>
      <w:r w:rsidR="00737DD3" w:rsidRPr="00737DD3">
        <w:rPr>
          <w:rFonts w:ascii="Arial" w:hAnsi="Arial" w:cs="Arial"/>
          <w:bCs/>
          <w:sz w:val="24"/>
        </w:rPr>
        <w:t xml:space="preserve"> de 1</w:t>
      </w:r>
      <w:r w:rsidR="008E39DC">
        <w:rPr>
          <w:rFonts w:ascii="Arial" w:hAnsi="Arial" w:cs="Arial"/>
          <w:bCs/>
          <w:sz w:val="24"/>
        </w:rPr>
        <w:t xml:space="preserve"> a </w:t>
      </w:r>
      <w:r w:rsidR="00737DD3" w:rsidRPr="00737DD3">
        <w:rPr>
          <w:rFonts w:ascii="Arial" w:hAnsi="Arial" w:cs="Arial"/>
          <w:bCs/>
          <w:sz w:val="24"/>
        </w:rPr>
        <w:t>50 μg L</w:t>
      </w:r>
      <w:r w:rsidR="00737DD3" w:rsidRPr="005C44C1">
        <w:rPr>
          <w:rFonts w:ascii="Arial" w:hAnsi="Arial" w:cs="Arial"/>
          <w:bCs/>
          <w:sz w:val="24"/>
          <w:vertAlign w:val="superscript"/>
        </w:rPr>
        <w:t>-1</w:t>
      </w:r>
      <w:r w:rsidR="005C44C1">
        <w:rPr>
          <w:rFonts w:ascii="Arial" w:hAnsi="Arial" w:cs="Arial"/>
          <w:bCs/>
          <w:sz w:val="24"/>
        </w:rPr>
        <w:t xml:space="preserve">. </w:t>
      </w:r>
    </w:p>
    <w:p w14:paraId="56C40B0D" w14:textId="254B33E9" w:rsidR="005C44C1" w:rsidRDefault="005C44C1" w:rsidP="007C75E9">
      <w:pPr>
        <w:tabs>
          <w:tab w:val="left" w:pos="2145"/>
        </w:tabs>
        <w:spacing w:line="360" w:lineRule="auto"/>
        <w:jc w:val="both"/>
        <w:rPr>
          <w:rFonts w:ascii="Arial" w:hAnsi="Arial" w:cs="Arial"/>
          <w:bCs/>
          <w:sz w:val="24"/>
        </w:rPr>
      </w:pPr>
    </w:p>
    <w:p w14:paraId="329407F6" w14:textId="17F664A8" w:rsidR="005C44C1" w:rsidRDefault="005C44C1" w:rsidP="007C75E9">
      <w:pPr>
        <w:tabs>
          <w:tab w:val="left" w:pos="2145"/>
        </w:tabs>
        <w:spacing w:line="360" w:lineRule="auto"/>
        <w:jc w:val="both"/>
        <w:rPr>
          <w:rFonts w:ascii="Arial" w:hAnsi="Arial" w:cs="Arial"/>
          <w:bCs/>
          <w:sz w:val="24"/>
        </w:rPr>
      </w:pPr>
    </w:p>
    <w:p w14:paraId="71FC7533" w14:textId="0ABB8AD3" w:rsidR="00F9543C" w:rsidRDefault="00F9543C" w:rsidP="007C75E9">
      <w:pPr>
        <w:tabs>
          <w:tab w:val="left" w:pos="2145"/>
        </w:tabs>
        <w:spacing w:line="360" w:lineRule="auto"/>
        <w:jc w:val="both"/>
        <w:rPr>
          <w:rFonts w:ascii="Arial" w:hAnsi="Arial" w:cs="Arial"/>
          <w:bCs/>
          <w:sz w:val="24"/>
        </w:rPr>
      </w:pPr>
    </w:p>
    <w:p w14:paraId="2C8B4046" w14:textId="0C2D8467" w:rsidR="00F9543C" w:rsidRDefault="00F9543C" w:rsidP="00F9543C">
      <w:pPr>
        <w:tabs>
          <w:tab w:val="left" w:pos="2145"/>
        </w:tabs>
        <w:spacing w:line="360" w:lineRule="auto"/>
        <w:jc w:val="both"/>
        <w:rPr>
          <w:rFonts w:ascii="Arial" w:hAnsi="Arial" w:cs="Arial"/>
          <w:bCs/>
          <w:sz w:val="24"/>
        </w:rPr>
      </w:pPr>
      <w:r>
        <w:rPr>
          <w:rFonts w:ascii="Arial" w:hAnsi="Arial" w:cs="Arial"/>
          <w:bCs/>
          <w:sz w:val="24"/>
        </w:rPr>
        <w:tab/>
      </w:r>
    </w:p>
    <w:p w14:paraId="129680C1" w14:textId="7BCA94A7" w:rsidR="005C44C1" w:rsidRDefault="00F9543C" w:rsidP="007C75E9">
      <w:pPr>
        <w:tabs>
          <w:tab w:val="left" w:pos="2145"/>
        </w:tabs>
        <w:spacing w:line="360" w:lineRule="auto"/>
        <w:jc w:val="both"/>
        <w:rPr>
          <w:rFonts w:ascii="Arial" w:hAnsi="Arial" w:cs="Arial"/>
          <w:bCs/>
          <w:sz w:val="24"/>
        </w:rPr>
      </w:pPr>
      <w:r>
        <w:rPr>
          <w:rFonts w:ascii="Arial" w:hAnsi="Arial" w:cs="Arial"/>
          <w:bCs/>
          <w:sz w:val="24"/>
        </w:rPr>
        <w:br w:type="textWrapping" w:clear="all"/>
      </w:r>
    </w:p>
    <w:p w14:paraId="25178361" w14:textId="51AADD8C" w:rsidR="008E39DC" w:rsidRDefault="008E39DC" w:rsidP="007C75E9">
      <w:pPr>
        <w:tabs>
          <w:tab w:val="left" w:pos="2145"/>
        </w:tabs>
        <w:spacing w:line="360" w:lineRule="auto"/>
        <w:jc w:val="both"/>
        <w:rPr>
          <w:rFonts w:ascii="Arial" w:hAnsi="Arial" w:cs="Arial"/>
          <w:b/>
          <w:sz w:val="20"/>
          <w:szCs w:val="18"/>
        </w:rPr>
      </w:pPr>
    </w:p>
    <w:p w14:paraId="75CA8DC9" w14:textId="704295E9" w:rsidR="005C44C1" w:rsidRPr="005C44C1" w:rsidRDefault="005C44C1" w:rsidP="007C75E9">
      <w:pPr>
        <w:tabs>
          <w:tab w:val="left" w:pos="2145"/>
        </w:tabs>
        <w:spacing w:line="360" w:lineRule="auto"/>
        <w:jc w:val="both"/>
        <w:rPr>
          <w:rFonts w:ascii="Arial" w:hAnsi="Arial" w:cs="Arial"/>
          <w:bCs/>
          <w:sz w:val="20"/>
          <w:szCs w:val="18"/>
        </w:rPr>
      </w:pPr>
      <w:r w:rsidRPr="005C44C1">
        <w:rPr>
          <w:rFonts w:ascii="Arial" w:hAnsi="Arial" w:cs="Arial"/>
          <w:b/>
          <w:sz w:val="20"/>
          <w:szCs w:val="18"/>
        </w:rPr>
        <w:t xml:space="preserve">Figura </w:t>
      </w:r>
      <w:r w:rsidR="00864295">
        <w:rPr>
          <w:rFonts w:ascii="Arial" w:hAnsi="Arial" w:cs="Arial"/>
          <w:b/>
          <w:sz w:val="20"/>
          <w:szCs w:val="18"/>
        </w:rPr>
        <w:t>5</w:t>
      </w:r>
      <w:r w:rsidRPr="005C44C1">
        <w:rPr>
          <w:rFonts w:ascii="Arial" w:hAnsi="Arial" w:cs="Arial"/>
          <w:bCs/>
          <w:sz w:val="20"/>
          <w:szCs w:val="18"/>
        </w:rPr>
        <w:t xml:space="preserve">. SWV para diferentes concentraciones de </w:t>
      </w:r>
      <w:proofErr w:type="gramStart"/>
      <w:r w:rsidRPr="005C44C1">
        <w:rPr>
          <w:rFonts w:ascii="Arial" w:hAnsi="Arial" w:cs="Arial"/>
          <w:bCs/>
          <w:sz w:val="20"/>
          <w:szCs w:val="18"/>
        </w:rPr>
        <w:t>Cd(</w:t>
      </w:r>
      <w:proofErr w:type="gramEnd"/>
      <w:r w:rsidRPr="005C44C1">
        <w:rPr>
          <w:rFonts w:ascii="Arial" w:hAnsi="Arial" w:cs="Arial"/>
          <w:bCs/>
          <w:sz w:val="20"/>
          <w:szCs w:val="18"/>
        </w:rPr>
        <w:t xml:space="preserve">II), en </w:t>
      </w:r>
      <w:r w:rsidR="0042785E">
        <w:rPr>
          <w:rFonts w:ascii="Arial" w:hAnsi="Arial" w:cs="Arial"/>
          <w:bCs/>
          <w:sz w:val="20"/>
          <w:szCs w:val="18"/>
        </w:rPr>
        <w:t>un buffer</w:t>
      </w:r>
      <w:r w:rsidRPr="005C44C1">
        <w:rPr>
          <w:rFonts w:ascii="Arial" w:hAnsi="Arial" w:cs="Arial"/>
          <w:bCs/>
          <w:sz w:val="20"/>
          <w:szCs w:val="18"/>
        </w:rPr>
        <w:t xml:space="preserve"> de acetato</w:t>
      </w:r>
      <w:r w:rsidR="0042785E">
        <w:rPr>
          <w:rFonts w:ascii="Arial" w:hAnsi="Arial" w:cs="Arial"/>
          <w:bCs/>
          <w:sz w:val="20"/>
          <w:szCs w:val="18"/>
        </w:rPr>
        <w:t>s</w:t>
      </w:r>
      <w:r w:rsidRPr="005C44C1">
        <w:rPr>
          <w:rFonts w:ascii="Arial" w:hAnsi="Arial" w:cs="Arial"/>
          <w:bCs/>
          <w:sz w:val="20"/>
          <w:szCs w:val="18"/>
        </w:rPr>
        <w:t xml:space="preserve"> 0</w:t>
      </w:r>
      <w:r w:rsidR="0042785E">
        <w:rPr>
          <w:rFonts w:ascii="Arial" w:hAnsi="Arial" w:cs="Arial"/>
          <w:bCs/>
          <w:sz w:val="20"/>
          <w:szCs w:val="18"/>
        </w:rPr>
        <w:t>.1</w:t>
      </w:r>
      <w:r w:rsidRPr="005C44C1">
        <w:rPr>
          <w:rFonts w:ascii="Arial" w:hAnsi="Arial" w:cs="Arial"/>
          <w:bCs/>
          <w:sz w:val="20"/>
          <w:szCs w:val="18"/>
        </w:rPr>
        <w:t xml:space="preserve"> M</w:t>
      </w:r>
      <w:r w:rsidR="0042785E">
        <w:rPr>
          <w:rFonts w:ascii="Arial" w:hAnsi="Arial" w:cs="Arial"/>
          <w:bCs/>
          <w:sz w:val="20"/>
          <w:szCs w:val="18"/>
        </w:rPr>
        <w:t xml:space="preserve"> a</w:t>
      </w:r>
      <w:r w:rsidRPr="005C44C1">
        <w:rPr>
          <w:rFonts w:ascii="Arial" w:hAnsi="Arial" w:cs="Arial"/>
          <w:bCs/>
          <w:sz w:val="20"/>
          <w:szCs w:val="18"/>
        </w:rPr>
        <w:t xml:space="preserve"> pH 5, en un carbono vítreo modificado (Φ = 3 mm), con MWCNT-Chit</w:t>
      </w:r>
      <w:r w:rsidR="00F9543C">
        <w:rPr>
          <w:rFonts w:ascii="Arial" w:hAnsi="Arial" w:cs="Arial"/>
          <w:bCs/>
          <w:sz w:val="20"/>
          <w:szCs w:val="18"/>
        </w:rPr>
        <w:t>. C</w:t>
      </w:r>
      <w:r w:rsidRPr="005C44C1">
        <w:rPr>
          <w:rFonts w:ascii="Arial" w:hAnsi="Arial" w:cs="Arial"/>
          <w:bCs/>
          <w:sz w:val="20"/>
          <w:szCs w:val="18"/>
        </w:rPr>
        <w:t>urva de calibración</w:t>
      </w:r>
      <w:r w:rsidR="00F9543C">
        <w:rPr>
          <w:rFonts w:ascii="Arial" w:hAnsi="Arial" w:cs="Arial"/>
          <w:bCs/>
          <w:sz w:val="20"/>
          <w:szCs w:val="18"/>
        </w:rPr>
        <w:t>.</w:t>
      </w:r>
    </w:p>
    <w:p w14:paraId="61560B3D" w14:textId="219561CA" w:rsidR="007C7324" w:rsidRPr="005C44C1" w:rsidRDefault="00737DD3" w:rsidP="007C75E9">
      <w:pPr>
        <w:tabs>
          <w:tab w:val="left" w:pos="2145"/>
        </w:tabs>
        <w:spacing w:line="360" w:lineRule="auto"/>
        <w:jc w:val="both"/>
        <w:rPr>
          <w:rFonts w:ascii="Arial" w:hAnsi="Arial" w:cs="Arial"/>
          <w:bCs/>
          <w:sz w:val="24"/>
        </w:rPr>
      </w:pPr>
      <w:r w:rsidRPr="00737DD3">
        <w:rPr>
          <w:rFonts w:ascii="Arial" w:hAnsi="Arial" w:cs="Arial"/>
          <w:bCs/>
          <w:sz w:val="24"/>
        </w:rPr>
        <w:t>La ecuación en línea recta</w:t>
      </w:r>
      <w:r w:rsidR="008E39DC">
        <w:rPr>
          <w:rFonts w:ascii="Arial" w:hAnsi="Arial" w:cs="Arial"/>
          <w:bCs/>
          <w:sz w:val="24"/>
        </w:rPr>
        <w:t xml:space="preserve"> obtenid</w:t>
      </w:r>
      <w:r w:rsidR="008E39DC" w:rsidRPr="0042785E">
        <w:rPr>
          <w:rFonts w:ascii="Arial" w:hAnsi="Arial" w:cs="Arial"/>
          <w:bCs/>
          <w:sz w:val="24"/>
        </w:rPr>
        <w:t xml:space="preserve">a </w:t>
      </w:r>
      <w:r w:rsidR="008E39DC">
        <w:rPr>
          <w:rFonts w:ascii="Arial" w:hAnsi="Arial" w:cs="Arial"/>
          <w:bCs/>
          <w:sz w:val="24"/>
        </w:rPr>
        <w:t xml:space="preserve">de la Figura </w:t>
      </w:r>
      <w:r w:rsidR="00864295">
        <w:rPr>
          <w:rFonts w:ascii="Arial" w:hAnsi="Arial" w:cs="Arial"/>
          <w:bCs/>
          <w:sz w:val="24"/>
        </w:rPr>
        <w:t>5</w:t>
      </w:r>
      <w:r w:rsidRPr="00737DD3">
        <w:rPr>
          <w:rFonts w:ascii="Arial" w:hAnsi="Arial" w:cs="Arial"/>
          <w:bCs/>
          <w:sz w:val="24"/>
        </w:rPr>
        <w:t xml:space="preserve"> fue:</w:t>
      </w:r>
      <w:r w:rsidR="005C44C1">
        <w:rPr>
          <w:rFonts w:ascii="Arial" w:hAnsi="Arial" w:cs="Arial"/>
          <w:bCs/>
          <w:sz w:val="24"/>
        </w:rPr>
        <w:t xml:space="preserve"> </w:t>
      </w:r>
      <w:r w:rsidR="005C44C1">
        <w:rPr>
          <w:rFonts w:ascii="Arial" w:hAnsi="Arial" w:cs="Arial"/>
          <w:b/>
          <w:sz w:val="24"/>
        </w:rPr>
        <w:t>y=0.67696x + 6.19682</w:t>
      </w:r>
      <w:r w:rsidR="005C44C1">
        <w:rPr>
          <w:rFonts w:ascii="Arial" w:hAnsi="Arial" w:cs="Arial"/>
          <w:bCs/>
          <w:sz w:val="24"/>
        </w:rPr>
        <w:t xml:space="preserve">, </w:t>
      </w:r>
      <w:r w:rsidR="005C44C1" w:rsidRPr="005C44C1">
        <w:rPr>
          <w:rFonts w:ascii="Arial" w:hAnsi="Arial" w:cs="Arial"/>
          <w:bCs/>
          <w:sz w:val="24"/>
        </w:rPr>
        <w:t>con un coeficiente de correlación de 0.9991. El límite de detección (L</w:t>
      </w:r>
      <w:r w:rsidR="006666AD">
        <w:rPr>
          <w:rFonts w:ascii="Arial" w:hAnsi="Arial" w:cs="Arial"/>
          <w:bCs/>
          <w:sz w:val="24"/>
          <w:vertAlign w:val="subscript"/>
        </w:rPr>
        <w:t>D</w:t>
      </w:r>
      <w:r w:rsidR="005C44C1" w:rsidRPr="005C44C1">
        <w:rPr>
          <w:rFonts w:ascii="Arial" w:hAnsi="Arial" w:cs="Arial"/>
          <w:bCs/>
          <w:sz w:val="24"/>
        </w:rPr>
        <w:t xml:space="preserve">, 3σ/m) y </w:t>
      </w:r>
      <w:r w:rsidR="005C44C1">
        <w:rPr>
          <w:rFonts w:ascii="Arial" w:hAnsi="Arial" w:cs="Arial"/>
          <w:bCs/>
          <w:sz w:val="24"/>
        </w:rPr>
        <w:t>de</w:t>
      </w:r>
      <w:r w:rsidR="005C44C1" w:rsidRPr="005C44C1">
        <w:rPr>
          <w:rFonts w:ascii="Arial" w:hAnsi="Arial" w:cs="Arial"/>
          <w:bCs/>
          <w:sz w:val="24"/>
        </w:rPr>
        <w:t xml:space="preserve"> cuantificación (L</w:t>
      </w:r>
      <w:r w:rsidR="006666AD">
        <w:rPr>
          <w:rFonts w:ascii="Arial" w:hAnsi="Arial" w:cs="Arial"/>
          <w:bCs/>
          <w:sz w:val="24"/>
          <w:vertAlign w:val="subscript"/>
        </w:rPr>
        <w:t>C</w:t>
      </w:r>
      <w:r w:rsidR="005C44C1" w:rsidRPr="005C44C1">
        <w:rPr>
          <w:rFonts w:ascii="Arial" w:hAnsi="Arial" w:cs="Arial"/>
          <w:bCs/>
          <w:sz w:val="24"/>
        </w:rPr>
        <w:t>, 10σ/m)</w:t>
      </w:r>
      <w:r w:rsidR="00715F7F">
        <w:rPr>
          <w:rFonts w:ascii="Arial" w:hAnsi="Arial" w:cs="Arial"/>
          <w:bCs/>
          <w:sz w:val="24"/>
        </w:rPr>
        <w:t>,</w:t>
      </w:r>
      <w:r w:rsidR="005C44C1" w:rsidRPr="005C44C1">
        <w:rPr>
          <w:rFonts w:ascii="Arial" w:hAnsi="Arial" w:cs="Arial"/>
          <w:bCs/>
          <w:sz w:val="24"/>
        </w:rPr>
        <w:t xml:space="preserve"> donde σ es la desviación estándar de la solución en blanco (0.1 M acetato buffer pH 5) con n=25, y</w:t>
      </w:r>
      <w:r w:rsidR="005C44C1">
        <w:rPr>
          <w:rFonts w:ascii="Arial" w:hAnsi="Arial" w:cs="Arial"/>
          <w:bCs/>
          <w:sz w:val="24"/>
        </w:rPr>
        <w:t xml:space="preserve"> </w:t>
      </w:r>
      <w:r w:rsidR="005C44C1" w:rsidRPr="005C44C1">
        <w:rPr>
          <w:rFonts w:ascii="Arial" w:hAnsi="Arial" w:cs="Arial"/>
          <w:bCs/>
          <w:sz w:val="24"/>
        </w:rPr>
        <w:t>m la pendiente de la ecuación de línea recta. Los valores de L</w:t>
      </w:r>
      <w:r w:rsidR="005C44C1" w:rsidRPr="006666AD">
        <w:rPr>
          <w:rFonts w:ascii="Arial" w:hAnsi="Arial" w:cs="Arial"/>
          <w:bCs/>
          <w:sz w:val="24"/>
          <w:vertAlign w:val="subscript"/>
        </w:rPr>
        <w:t>D</w:t>
      </w:r>
      <w:r w:rsidR="005C44C1" w:rsidRPr="005C44C1">
        <w:rPr>
          <w:rFonts w:ascii="Arial" w:hAnsi="Arial" w:cs="Arial"/>
          <w:bCs/>
          <w:sz w:val="24"/>
        </w:rPr>
        <w:t xml:space="preserve"> y L</w:t>
      </w:r>
      <w:r w:rsidR="005C44C1" w:rsidRPr="006666AD">
        <w:rPr>
          <w:rFonts w:ascii="Arial" w:hAnsi="Arial" w:cs="Arial"/>
          <w:bCs/>
          <w:sz w:val="24"/>
          <w:vertAlign w:val="subscript"/>
        </w:rPr>
        <w:t>C</w:t>
      </w:r>
      <w:r w:rsidR="005C44C1" w:rsidRPr="005C44C1">
        <w:rPr>
          <w:rFonts w:ascii="Arial" w:hAnsi="Arial" w:cs="Arial"/>
          <w:bCs/>
          <w:sz w:val="24"/>
        </w:rPr>
        <w:t xml:space="preserve"> fueron 0.089 μg L</w:t>
      </w:r>
      <w:r w:rsidR="005C44C1" w:rsidRPr="00312506">
        <w:rPr>
          <w:rFonts w:ascii="Arial" w:hAnsi="Arial" w:cs="Arial"/>
          <w:bCs/>
          <w:sz w:val="24"/>
          <w:vertAlign w:val="superscript"/>
        </w:rPr>
        <w:t>-1</w:t>
      </w:r>
      <w:r w:rsidR="005C44C1" w:rsidRPr="005C44C1">
        <w:rPr>
          <w:rFonts w:ascii="Arial" w:hAnsi="Arial" w:cs="Arial"/>
          <w:bCs/>
          <w:sz w:val="24"/>
        </w:rPr>
        <w:t xml:space="preserve"> y 0.2966 μg L</w:t>
      </w:r>
      <w:r w:rsidR="005C44C1" w:rsidRPr="00312506">
        <w:rPr>
          <w:rFonts w:ascii="Arial" w:hAnsi="Arial" w:cs="Arial"/>
          <w:bCs/>
          <w:sz w:val="24"/>
          <w:vertAlign w:val="superscript"/>
        </w:rPr>
        <w:t>-1</w:t>
      </w:r>
      <w:r w:rsidR="008E39DC">
        <w:rPr>
          <w:rFonts w:ascii="Arial" w:hAnsi="Arial" w:cs="Arial"/>
          <w:bCs/>
          <w:sz w:val="24"/>
        </w:rPr>
        <w:t>.</w:t>
      </w:r>
    </w:p>
    <w:p w14:paraId="2EC1FED3" w14:textId="16F69848" w:rsidR="005C44C1" w:rsidRDefault="006666AD" w:rsidP="007C75E9">
      <w:pPr>
        <w:tabs>
          <w:tab w:val="left" w:pos="2145"/>
        </w:tabs>
        <w:spacing w:line="360" w:lineRule="auto"/>
        <w:jc w:val="both"/>
        <w:rPr>
          <w:rFonts w:ascii="Arial" w:hAnsi="Arial" w:cs="Arial"/>
          <w:bCs/>
          <w:i/>
          <w:iCs/>
          <w:sz w:val="24"/>
          <w:u w:val="single"/>
        </w:rPr>
      </w:pPr>
      <w:r>
        <w:rPr>
          <w:rFonts w:ascii="Arial" w:hAnsi="Arial" w:cs="Arial"/>
          <w:bCs/>
          <w:i/>
          <w:iCs/>
          <w:sz w:val="24"/>
          <w:u w:val="single"/>
        </w:rPr>
        <w:t>Validación analítica del método y selectividad</w:t>
      </w:r>
    </w:p>
    <w:p w14:paraId="0D3CB197" w14:textId="1AB746BD" w:rsidR="006666AD" w:rsidRPr="006666AD" w:rsidRDefault="006666AD" w:rsidP="007C75E9">
      <w:pPr>
        <w:tabs>
          <w:tab w:val="left" w:pos="2145"/>
        </w:tabs>
        <w:spacing w:line="360" w:lineRule="auto"/>
        <w:jc w:val="both"/>
        <w:rPr>
          <w:rFonts w:ascii="Arial" w:hAnsi="Arial" w:cs="Arial"/>
          <w:bCs/>
          <w:sz w:val="24"/>
        </w:rPr>
      </w:pPr>
      <w:r w:rsidRPr="006666AD">
        <w:rPr>
          <w:rFonts w:ascii="Arial" w:hAnsi="Arial" w:cs="Arial"/>
          <w:bCs/>
          <w:sz w:val="24"/>
        </w:rPr>
        <w:t xml:space="preserve">Para validar la aplicabilidad de MWCNT-Chit/CGE </w:t>
      </w:r>
      <w:r w:rsidR="00864295">
        <w:rPr>
          <w:rFonts w:ascii="Arial" w:hAnsi="Arial" w:cs="Arial"/>
          <w:bCs/>
          <w:sz w:val="24"/>
        </w:rPr>
        <w:t>en</w:t>
      </w:r>
      <w:r w:rsidRPr="006666AD">
        <w:rPr>
          <w:rFonts w:ascii="Arial" w:hAnsi="Arial" w:cs="Arial"/>
          <w:bCs/>
          <w:sz w:val="24"/>
        </w:rPr>
        <w:t xml:space="preserve"> la determinación de Cd (II), se analizaron varias muestras de agua </w:t>
      </w:r>
      <w:r w:rsidR="00864295">
        <w:rPr>
          <w:rFonts w:ascii="Arial" w:hAnsi="Arial" w:cs="Arial"/>
          <w:bCs/>
          <w:sz w:val="24"/>
        </w:rPr>
        <w:t>del grifo</w:t>
      </w:r>
      <w:r w:rsidRPr="006666AD">
        <w:rPr>
          <w:rFonts w:ascii="Arial" w:hAnsi="Arial" w:cs="Arial"/>
          <w:bCs/>
          <w:sz w:val="24"/>
        </w:rPr>
        <w:t xml:space="preserve"> y agua potable utilizando el método de adici</w:t>
      </w:r>
      <w:r w:rsidR="00864295">
        <w:rPr>
          <w:rFonts w:ascii="Arial" w:hAnsi="Arial" w:cs="Arial"/>
          <w:bCs/>
          <w:sz w:val="24"/>
        </w:rPr>
        <w:t>o</w:t>
      </w:r>
      <w:r w:rsidRPr="006666AD">
        <w:rPr>
          <w:rFonts w:ascii="Arial" w:hAnsi="Arial" w:cs="Arial"/>
          <w:bCs/>
          <w:sz w:val="24"/>
        </w:rPr>
        <w:t>n</w:t>
      </w:r>
      <w:r w:rsidR="00864295">
        <w:rPr>
          <w:rFonts w:ascii="Arial" w:hAnsi="Arial" w:cs="Arial"/>
          <w:bCs/>
          <w:sz w:val="24"/>
        </w:rPr>
        <w:t>es</w:t>
      </w:r>
      <w:r w:rsidRPr="006666AD">
        <w:rPr>
          <w:rFonts w:ascii="Arial" w:hAnsi="Arial" w:cs="Arial"/>
          <w:bCs/>
          <w:sz w:val="24"/>
        </w:rPr>
        <w:t xml:space="preserve"> estándar. No se aplicó ningún tratamiento de preconcentración a las muestras de agua</w:t>
      </w:r>
      <w:r w:rsidR="00864295">
        <w:rPr>
          <w:rFonts w:ascii="Arial" w:hAnsi="Arial" w:cs="Arial"/>
          <w:bCs/>
          <w:sz w:val="24"/>
        </w:rPr>
        <w:t>,</w:t>
      </w:r>
      <w:r w:rsidRPr="006666AD">
        <w:rPr>
          <w:rFonts w:ascii="Arial" w:hAnsi="Arial" w:cs="Arial"/>
          <w:bCs/>
          <w:sz w:val="24"/>
        </w:rPr>
        <w:t xml:space="preserve"> solo </w:t>
      </w:r>
      <w:r w:rsidR="00864295">
        <w:rPr>
          <w:rFonts w:ascii="Arial" w:hAnsi="Arial" w:cs="Arial"/>
          <w:bCs/>
          <w:sz w:val="24"/>
        </w:rPr>
        <w:t xml:space="preserve">se ajustó </w:t>
      </w:r>
      <w:r w:rsidRPr="006666AD">
        <w:rPr>
          <w:rFonts w:ascii="Arial" w:hAnsi="Arial" w:cs="Arial"/>
          <w:bCs/>
          <w:sz w:val="24"/>
        </w:rPr>
        <w:t>el pH</w:t>
      </w:r>
      <w:r w:rsidR="00864295">
        <w:rPr>
          <w:rFonts w:ascii="Arial" w:hAnsi="Arial" w:cs="Arial"/>
          <w:bCs/>
          <w:sz w:val="24"/>
        </w:rPr>
        <w:t xml:space="preserve"> </w:t>
      </w:r>
      <w:r w:rsidRPr="006666AD">
        <w:rPr>
          <w:rFonts w:ascii="Arial" w:hAnsi="Arial" w:cs="Arial"/>
          <w:bCs/>
          <w:sz w:val="24"/>
        </w:rPr>
        <w:t xml:space="preserve">y </w:t>
      </w:r>
      <w:r w:rsidR="00864295">
        <w:rPr>
          <w:rFonts w:ascii="Arial" w:hAnsi="Arial" w:cs="Arial"/>
          <w:bCs/>
          <w:sz w:val="24"/>
        </w:rPr>
        <w:t>se adicionó</w:t>
      </w:r>
      <w:r w:rsidRPr="006666AD">
        <w:rPr>
          <w:rFonts w:ascii="Arial" w:hAnsi="Arial" w:cs="Arial"/>
          <w:bCs/>
          <w:sz w:val="24"/>
        </w:rPr>
        <w:t xml:space="preserve"> la </w:t>
      </w:r>
      <w:r w:rsidR="00864295">
        <w:rPr>
          <w:rFonts w:ascii="Arial" w:hAnsi="Arial" w:cs="Arial"/>
          <w:bCs/>
          <w:sz w:val="24"/>
        </w:rPr>
        <w:t>di</w:t>
      </w:r>
      <w:r w:rsidRPr="006666AD">
        <w:rPr>
          <w:rFonts w:ascii="Arial" w:hAnsi="Arial" w:cs="Arial"/>
          <w:bCs/>
          <w:sz w:val="24"/>
        </w:rPr>
        <w:t xml:space="preserve">solución </w:t>
      </w:r>
      <w:r w:rsidR="0042785E">
        <w:rPr>
          <w:rFonts w:ascii="Arial" w:hAnsi="Arial" w:cs="Arial"/>
          <w:bCs/>
          <w:sz w:val="24"/>
        </w:rPr>
        <w:t>buffer</w:t>
      </w:r>
      <w:r w:rsidRPr="006666AD">
        <w:rPr>
          <w:rFonts w:ascii="Arial" w:hAnsi="Arial" w:cs="Arial"/>
          <w:bCs/>
          <w:sz w:val="24"/>
        </w:rPr>
        <w:t xml:space="preserve"> de acetatos 0.1 M. Como se </w:t>
      </w:r>
      <w:r w:rsidR="00864295">
        <w:rPr>
          <w:rFonts w:ascii="Arial" w:hAnsi="Arial" w:cs="Arial"/>
          <w:bCs/>
          <w:sz w:val="24"/>
        </w:rPr>
        <w:t>observa</w:t>
      </w:r>
      <w:r w:rsidRPr="006666AD">
        <w:rPr>
          <w:rFonts w:ascii="Arial" w:hAnsi="Arial" w:cs="Arial"/>
          <w:bCs/>
          <w:sz w:val="24"/>
        </w:rPr>
        <w:t xml:space="preserve"> en la Tabla</w:t>
      </w:r>
      <w:r>
        <w:rPr>
          <w:rFonts w:ascii="Arial" w:hAnsi="Arial" w:cs="Arial"/>
          <w:bCs/>
          <w:sz w:val="24"/>
        </w:rPr>
        <w:t xml:space="preserve"> 2,</w:t>
      </w:r>
      <w:r w:rsidRPr="006666AD">
        <w:rPr>
          <w:rFonts w:ascii="Arial" w:hAnsi="Arial" w:cs="Arial"/>
          <w:bCs/>
          <w:sz w:val="24"/>
        </w:rPr>
        <w:t xml:space="preserve"> </w:t>
      </w:r>
      <w:r>
        <w:rPr>
          <w:rFonts w:ascii="Arial" w:hAnsi="Arial" w:cs="Arial"/>
          <w:bCs/>
          <w:sz w:val="24"/>
        </w:rPr>
        <w:t xml:space="preserve">en </w:t>
      </w:r>
      <w:r w:rsidRPr="006666AD">
        <w:rPr>
          <w:rFonts w:ascii="Arial" w:hAnsi="Arial" w:cs="Arial"/>
          <w:bCs/>
          <w:sz w:val="24"/>
        </w:rPr>
        <w:t>la</w:t>
      </w:r>
      <w:r>
        <w:rPr>
          <w:rFonts w:ascii="Arial" w:hAnsi="Arial" w:cs="Arial"/>
          <w:bCs/>
          <w:sz w:val="24"/>
        </w:rPr>
        <w:t>s</w:t>
      </w:r>
      <w:r w:rsidRPr="006666AD">
        <w:rPr>
          <w:rFonts w:ascii="Arial" w:hAnsi="Arial" w:cs="Arial"/>
          <w:bCs/>
          <w:sz w:val="24"/>
        </w:rPr>
        <w:t xml:space="preserve"> muestra</w:t>
      </w:r>
      <w:r>
        <w:rPr>
          <w:rFonts w:ascii="Arial" w:hAnsi="Arial" w:cs="Arial"/>
          <w:bCs/>
          <w:sz w:val="24"/>
        </w:rPr>
        <w:t>s</w:t>
      </w:r>
      <w:r w:rsidRPr="006666AD">
        <w:rPr>
          <w:rFonts w:ascii="Arial" w:hAnsi="Arial" w:cs="Arial"/>
          <w:bCs/>
          <w:sz w:val="24"/>
        </w:rPr>
        <w:t xml:space="preserve"> de agua potable </w:t>
      </w:r>
      <w:r>
        <w:rPr>
          <w:rFonts w:ascii="Arial" w:hAnsi="Arial" w:cs="Arial"/>
          <w:bCs/>
          <w:sz w:val="24"/>
        </w:rPr>
        <w:t xml:space="preserve">y del grifo </w:t>
      </w:r>
      <w:r w:rsidRPr="006666AD">
        <w:rPr>
          <w:rFonts w:ascii="Arial" w:hAnsi="Arial" w:cs="Arial"/>
          <w:bCs/>
          <w:sz w:val="24"/>
        </w:rPr>
        <w:t xml:space="preserve">no </w:t>
      </w:r>
      <w:r>
        <w:rPr>
          <w:rFonts w:ascii="Arial" w:hAnsi="Arial" w:cs="Arial"/>
          <w:bCs/>
          <w:sz w:val="24"/>
        </w:rPr>
        <w:t>se</w:t>
      </w:r>
      <w:r w:rsidRPr="006666AD">
        <w:rPr>
          <w:rFonts w:ascii="Arial" w:hAnsi="Arial" w:cs="Arial"/>
          <w:bCs/>
          <w:sz w:val="24"/>
        </w:rPr>
        <w:t xml:space="preserve"> </w:t>
      </w:r>
      <w:r>
        <w:rPr>
          <w:rFonts w:ascii="Arial" w:hAnsi="Arial" w:cs="Arial"/>
          <w:bCs/>
          <w:sz w:val="24"/>
        </w:rPr>
        <w:t>encontraron trazas de</w:t>
      </w:r>
      <w:r w:rsidRPr="006666AD">
        <w:rPr>
          <w:rFonts w:ascii="Arial" w:hAnsi="Arial" w:cs="Arial"/>
          <w:bCs/>
          <w:sz w:val="24"/>
        </w:rPr>
        <w:t xml:space="preserve"> </w:t>
      </w:r>
      <w:proofErr w:type="gramStart"/>
      <w:r>
        <w:rPr>
          <w:rFonts w:ascii="Arial" w:hAnsi="Arial" w:cs="Arial"/>
          <w:bCs/>
          <w:sz w:val="24"/>
        </w:rPr>
        <w:t>Cd(</w:t>
      </w:r>
      <w:proofErr w:type="gramEnd"/>
      <w:r>
        <w:rPr>
          <w:rFonts w:ascii="Arial" w:hAnsi="Arial" w:cs="Arial"/>
          <w:bCs/>
          <w:sz w:val="24"/>
        </w:rPr>
        <w:t>II)</w:t>
      </w:r>
      <w:r w:rsidR="00864295">
        <w:rPr>
          <w:rFonts w:ascii="Arial" w:hAnsi="Arial" w:cs="Arial"/>
          <w:bCs/>
          <w:sz w:val="24"/>
        </w:rPr>
        <w:t xml:space="preserve"> mayores al</w:t>
      </w:r>
      <w:r w:rsidRPr="006666AD">
        <w:rPr>
          <w:rFonts w:ascii="Arial" w:hAnsi="Arial" w:cs="Arial"/>
          <w:bCs/>
          <w:sz w:val="24"/>
        </w:rPr>
        <w:t xml:space="preserve"> límite de detección del método. Los valores de</w:t>
      </w:r>
      <w:r>
        <w:rPr>
          <w:rFonts w:ascii="Arial" w:hAnsi="Arial" w:cs="Arial"/>
          <w:bCs/>
          <w:sz w:val="24"/>
        </w:rPr>
        <w:t xml:space="preserve"> </w:t>
      </w:r>
      <w:r w:rsidRPr="006666AD">
        <w:rPr>
          <w:rFonts w:ascii="Arial" w:hAnsi="Arial" w:cs="Arial"/>
          <w:bCs/>
          <w:sz w:val="24"/>
        </w:rPr>
        <w:t>% de recuperación (%</w:t>
      </w:r>
      <w:r>
        <w:rPr>
          <w:rFonts w:ascii="Arial" w:hAnsi="Arial" w:cs="Arial"/>
          <w:bCs/>
          <w:sz w:val="24"/>
          <w:vertAlign w:val="subscript"/>
        </w:rPr>
        <w:t>R</w:t>
      </w:r>
      <w:r w:rsidRPr="006666AD">
        <w:rPr>
          <w:rFonts w:ascii="Arial" w:hAnsi="Arial" w:cs="Arial"/>
          <w:bCs/>
          <w:sz w:val="24"/>
        </w:rPr>
        <w:t>) en las muestras de agua fueron inferiores a 100±2%. Con respecto a la desviación estándar relativa (%R</w:t>
      </w:r>
      <w:r w:rsidRPr="00F64F7C">
        <w:rPr>
          <w:rFonts w:ascii="Arial" w:hAnsi="Arial" w:cs="Arial"/>
          <w:bCs/>
          <w:sz w:val="24"/>
          <w:vertAlign w:val="subscript"/>
        </w:rPr>
        <w:t>SD</w:t>
      </w:r>
      <w:r w:rsidRPr="006666AD">
        <w:rPr>
          <w:rFonts w:ascii="Arial" w:hAnsi="Arial" w:cs="Arial"/>
          <w:bCs/>
          <w:sz w:val="24"/>
        </w:rPr>
        <w:t xml:space="preserve">), </w:t>
      </w:r>
      <w:r w:rsidR="00864295">
        <w:rPr>
          <w:rFonts w:ascii="Arial" w:hAnsi="Arial" w:cs="Arial"/>
          <w:bCs/>
          <w:sz w:val="24"/>
        </w:rPr>
        <w:t xml:space="preserve">estas </w:t>
      </w:r>
      <w:r w:rsidRPr="006666AD">
        <w:rPr>
          <w:rFonts w:ascii="Arial" w:hAnsi="Arial" w:cs="Arial"/>
          <w:bCs/>
          <w:sz w:val="24"/>
        </w:rPr>
        <w:t>fue</w:t>
      </w:r>
      <w:r w:rsidR="00864295">
        <w:rPr>
          <w:rFonts w:ascii="Arial" w:hAnsi="Arial" w:cs="Arial"/>
          <w:bCs/>
          <w:sz w:val="24"/>
        </w:rPr>
        <w:t>ron</w:t>
      </w:r>
      <w:r w:rsidRPr="006666AD">
        <w:rPr>
          <w:rFonts w:ascii="Arial" w:hAnsi="Arial" w:cs="Arial"/>
          <w:bCs/>
          <w:sz w:val="24"/>
        </w:rPr>
        <w:t xml:space="preserve"> inferior</w:t>
      </w:r>
      <w:r w:rsidR="00864295">
        <w:rPr>
          <w:rFonts w:ascii="Arial" w:hAnsi="Arial" w:cs="Arial"/>
          <w:bCs/>
          <w:sz w:val="24"/>
        </w:rPr>
        <w:t>es</w:t>
      </w:r>
      <w:r w:rsidRPr="006666AD">
        <w:rPr>
          <w:rFonts w:ascii="Arial" w:hAnsi="Arial" w:cs="Arial"/>
          <w:bCs/>
          <w:sz w:val="24"/>
        </w:rPr>
        <w:t xml:space="preserve"> al 5%</w:t>
      </w:r>
      <w:r w:rsidR="00F64F7C">
        <w:rPr>
          <w:rFonts w:ascii="Arial" w:hAnsi="Arial" w:cs="Arial"/>
          <w:bCs/>
          <w:sz w:val="24"/>
        </w:rPr>
        <w:t xml:space="preserve"> </w:t>
      </w:r>
      <w:r w:rsidR="00F64F7C">
        <w:rPr>
          <w:rFonts w:ascii="Arial" w:hAnsi="Arial" w:cs="Arial"/>
          <w:bCs/>
          <w:sz w:val="24"/>
        </w:rPr>
        <w:fldChar w:fldCharType="begin" w:fldLock="1"/>
      </w:r>
      <w:r w:rsidR="00F64F7C">
        <w:rPr>
          <w:rFonts w:ascii="Arial" w:hAnsi="Arial" w:cs="Arial"/>
          <w:bCs/>
          <w:sz w:val="24"/>
        </w:rPr>
        <w:instrText>ADDIN CSL_CITATION {"citationItems":[{"id":"ITEM-1","itemData":{"ISBN":"9780495558286","author":[{"dropping-particle":"","family":"Holler","given":"James","non-dropping-particle":"","parse-names":false,"suffix":""},{"dropping-particle":"","family":"Crouch","given":"Stanley R","non-dropping-particle":"","parse-names":false,"suffix":""}],"id":"ITEM-1","issued":{"date-parts":[["0"]]},"title":"Q UÍMICA","type":"book"},"uris":["http://www.mendeley.com/documents/?uuid=5e3668bf-ccc9-4683-b201-ffc03020d0ed"]}],"mendeley":{"formattedCitation":"(Holler &amp; Crouch, n.d.)","manualFormatting":"(Holler y Crouch, 2015)","plainTextFormattedCitation":"(Holler &amp; Crouch, n.d.)","previouslyFormattedCitation":"(Holler &amp; Crouch, n.d.)"},"properties":{"noteIndex":0},"schema":"https://github.com/citation-style-language/schema/raw/master/csl-citation.json"}</w:instrText>
      </w:r>
      <w:r w:rsidR="00F64F7C">
        <w:rPr>
          <w:rFonts w:ascii="Arial" w:hAnsi="Arial" w:cs="Arial"/>
          <w:bCs/>
          <w:sz w:val="24"/>
        </w:rPr>
        <w:fldChar w:fldCharType="separate"/>
      </w:r>
      <w:r w:rsidR="00F64F7C" w:rsidRPr="00F64F7C">
        <w:rPr>
          <w:rFonts w:ascii="Arial" w:hAnsi="Arial" w:cs="Arial"/>
          <w:bCs/>
          <w:noProof/>
          <w:sz w:val="24"/>
        </w:rPr>
        <w:t xml:space="preserve">(Holler </w:t>
      </w:r>
      <w:r w:rsidR="00F64F7C">
        <w:rPr>
          <w:rFonts w:ascii="Arial" w:hAnsi="Arial" w:cs="Arial"/>
          <w:bCs/>
          <w:noProof/>
          <w:sz w:val="24"/>
        </w:rPr>
        <w:t>y</w:t>
      </w:r>
      <w:r w:rsidR="00F64F7C" w:rsidRPr="00F64F7C">
        <w:rPr>
          <w:rFonts w:ascii="Arial" w:hAnsi="Arial" w:cs="Arial"/>
          <w:bCs/>
          <w:noProof/>
          <w:sz w:val="24"/>
        </w:rPr>
        <w:t xml:space="preserve"> Crouch, </w:t>
      </w:r>
      <w:r w:rsidR="00F64F7C">
        <w:rPr>
          <w:rFonts w:ascii="Arial" w:hAnsi="Arial" w:cs="Arial"/>
          <w:bCs/>
          <w:noProof/>
          <w:sz w:val="24"/>
        </w:rPr>
        <w:t>2015</w:t>
      </w:r>
      <w:r w:rsidR="00F64F7C" w:rsidRPr="00F64F7C">
        <w:rPr>
          <w:rFonts w:ascii="Arial" w:hAnsi="Arial" w:cs="Arial"/>
          <w:bCs/>
          <w:noProof/>
          <w:sz w:val="24"/>
        </w:rPr>
        <w:t>)</w:t>
      </w:r>
      <w:r w:rsidR="00F64F7C">
        <w:rPr>
          <w:rFonts w:ascii="Arial" w:hAnsi="Arial" w:cs="Arial"/>
          <w:bCs/>
          <w:sz w:val="24"/>
        </w:rPr>
        <w:fldChar w:fldCharType="end"/>
      </w:r>
      <w:r w:rsidRPr="006666AD">
        <w:rPr>
          <w:rFonts w:ascii="Arial" w:hAnsi="Arial" w:cs="Arial"/>
          <w:bCs/>
          <w:sz w:val="24"/>
        </w:rPr>
        <w:t xml:space="preserve">, lo que demuestra la excelente precisión y exactitud del método. Por lo tanto, este electrodo modificado </w:t>
      </w:r>
      <w:r w:rsidR="00050779">
        <w:rPr>
          <w:rFonts w:ascii="Arial" w:hAnsi="Arial" w:cs="Arial"/>
          <w:bCs/>
          <w:sz w:val="24"/>
        </w:rPr>
        <w:t xml:space="preserve">con </w:t>
      </w:r>
      <w:r w:rsidRPr="006666AD">
        <w:rPr>
          <w:rFonts w:ascii="Arial" w:hAnsi="Arial" w:cs="Arial"/>
          <w:bCs/>
          <w:sz w:val="24"/>
        </w:rPr>
        <w:t>MWCNT-Chit es una propuesta muy viable para el análisis de muestras reales.</w:t>
      </w:r>
    </w:p>
    <w:p w14:paraId="5EA22CB4" w14:textId="2175B138" w:rsidR="007C7324" w:rsidRPr="006666AD" w:rsidRDefault="006666AD" w:rsidP="007C75E9">
      <w:pPr>
        <w:tabs>
          <w:tab w:val="left" w:pos="2145"/>
        </w:tabs>
        <w:spacing w:line="360" w:lineRule="auto"/>
        <w:jc w:val="both"/>
        <w:rPr>
          <w:rFonts w:ascii="Arial" w:hAnsi="Arial" w:cs="Arial"/>
          <w:bCs/>
          <w:sz w:val="20"/>
          <w:szCs w:val="18"/>
        </w:rPr>
      </w:pPr>
      <w:r w:rsidRPr="006666AD">
        <w:rPr>
          <w:rFonts w:ascii="Arial" w:hAnsi="Arial" w:cs="Arial"/>
          <w:b/>
          <w:sz w:val="20"/>
          <w:szCs w:val="18"/>
        </w:rPr>
        <w:t xml:space="preserve">Tabla </w:t>
      </w:r>
      <w:r w:rsidR="00715F7F">
        <w:rPr>
          <w:rFonts w:ascii="Arial" w:hAnsi="Arial" w:cs="Arial"/>
          <w:b/>
          <w:sz w:val="20"/>
          <w:szCs w:val="18"/>
        </w:rPr>
        <w:t>2</w:t>
      </w:r>
      <w:r w:rsidRPr="006666AD">
        <w:rPr>
          <w:rFonts w:ascii="Arial" w:hAnsi="Arial" w:cs="Arial"/>
          <w:bCs/>
          <w:sz w:val="20"/>
          <w:szCs w:val="18"/>
        </w:rPr>
        <w:t xml:space="preserve">. Datos de recuperación para la detección de </w:t>
      </w:r>
      <w:proofErr w:type="gramStart"/>
      <w:r w:rsidRPr="006666AD">
        <w:rPr>
          <w:rFonts w:ascii="Arial" w:hAnsi="Arial" w:cs="Arial"/>
          <w:bCs/>
          <w:sz w:val="20"/>
          <w:szCs w:val="18"/>
        </w:rPr>
        <w:t>Cd(</w:t>
      </w:r>
      <w:proofErr w:type="gramEnd"/>
      <w:r w:rsidRPr="006666AD">
        <w:rPr>
          <w:rFonts w:ascii="Arial" w:hAnsi="Arial" w:cs="Arial"/>
          <w:bCs/>
          <w:sz w:val="20"/>
          <w:szCs w:val="18"/>
        </w:rPr>
        <w:t>II) en agua potable y corriente usando MWCNT-Chit/CGE en tampón de acetato</w:t>
      </w:r>
      <w:r>
        <w:rPr>
          <w:rFonts w:ascii="Arial" w:hAnsi="Arial" w:cs="Arial"/>
          <w:bCs/>
          <w:sz w:val="20"/>
          <w:szCs w:val="18"/>
        </w:rPr>
        <w:t>s</w:t>
      </w:r>
      <w:r w:rsidRPr="006666AD">
        <w:rPr>
          <w:rFonts w:ascii="Arial" w:hAnsi="Arial" w:cs="Arial"/>
          <w:bCs/>
          <w:sz w:val="20"/>
          <w:szCs w:val="18"/>
        </w:rPr>
        <w:t xml:space="preserve"> 0.1 M (pH 5).</w:t>
      </w:r>
    </w:p>
    <w:tbl>
      <w:tblPr>
        <w:tblStyle w:val="Tablaconcuadrcula1"/>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7"/>
        <w:gridCol w:w="1244"/>
        <w:gridCol w:w="1129"/>
        <w:gridCol w:w="1444"/>
        <w:gridCol w:w="1697"/>
        <w:gridCol w:w="1358"/>
      </w:tblGrid>
      <w:tr w:rsidR="006666AD" w:rsidRPr="006666AD" w14:paraId="2844519B" w14:textId="77777777" w:rsidTr="006666AD">
        <w:trPr>
          <w:trHeight w:val="645"/>
          <w:jc w:val="center"/>
        </w:trPr>
        <w:tc>
          <w:tcPr>
            <w:tcW w:w="2268" w:type="dxa"/>
            <w:tcBorders>
              <w:top w:val="single" w:sz="4" w:space="0" w:color="auto"/>
              <w:bottom w:val="single" w:sz="4" w:space="0" w:color="auto"/>
            </w:tcBorders>
            <w:vAlign w:val="center"/>
          </w:tcPr>
          <w:p w14:paraId="253A6227" w14:textId="20A4B697" w:rsidR="006666AD" w:rsidRPr="006666AD" w:rsidRDefault="006666AD" w:rsidP="006666AD">
            <w:pPr>
              <w:jc w:val="center"/>
              <w:rPr>
                <w:rFonts w:ascii="Arial" w:eastAsia="Calibri" w:hAnsi="Arial" w:cs="Arial"/>
                <w:sz w:val="24"/>
                <w:szCs w:val="24"/>
                <w:lang w:val="en-US"/>
              </w:rPr>
            </w:pPr>
            <w:proofErr w:type="spellStart"/>
            <w:r w:rsidRPr="00864295">
              <w:rPr>
                <w:rFonts w:ascii="Arial" w:eastAsia="Calibri" w:hAnsi="Arial" w:cs="Arial"/>
                <w:sz w:val="24"/>
                <w:szCs w:val="24"/>
                <w:lang w:val="en-US"/>
              </w:rPr>
              <w:t>Muestra</w:t>
            </w:r>
            <w:proofErr w:type="spellEnd"/>
            <w:r w:rsidRPr="006666AD">
              <w:rPr>
                <w:rFonts w:ascii="Arial" w:eastAsia="Calibri" w:hAnsi="Arial" w:cs="Arial"/>
                <w:sz w:val="24"/>
                <w:szCs w:val="24"/>
                <w:lang w:val="en-US"/>
              </w:rPr>
              <w:t xml:space="preserve">                      </w:t>
            </w:r>
          </w:p>
        </w:tc>
        <w:tc>
          <w:tcPr>
            <w:tcW w:w="1276" w:type="dxa"/>
            <w:tcBorders>
              <w:top w:val="single" w:sz="4" w:space="0" w:color="auto"/>
              <w:bottom w:val="single" w:sz="4" w:space="0" w:color="auto"/>
            </w:tcBorders>
          </w:tcPr>
          <w:p w14:paraId="4BD431C8" w14:textId="7DAD9046" w:rsidR="006666AD" w:rsidRPr="006666AD" w:rsidRDefault="006666AD" w:rsidP="006666AD">
            <w:pPr>
              <w:jc w:val="center"/>
              <w:rPr>
                <w:rFonts w:ascii="Arial" w:eastAsia="Calibri" w:hAnsi="Arial" w:cs="Arial"/>
                <w:sz w:val="24"/>
                <w:szCs w:val="24"/>
                <w:lang w:val="en-US"/>
              </w:rPr>
            </w:pPr>
            <w:r w:rsidRPr="006666AD">
              <w:rPr>
                <w:rFonts w:ascii="Arial" w:eastAsia="Calibri" w:hAnsi="Arial" w:cs="Arial"/>
                <w:sz w:val="24"/>
                <w:szCs w:val="24"/>
                <w:lang w:val="en-US"/>
              </w:rPr>
              <w:t>Original</w:t>
            </w:r>
            <w:proofErr w:type="gramStart"/>
            <w:r w:rsidRPr="006666AD">
              <w:rPr>
                <w:rFonts w:ascii="Arial" w:eastAsia="Calibri" w:hAnsi="Arial" w:cs="Arial"/>
                <w:sz w:val="24"/>
                <w:szCs w:val="24"/>
                <w:lang w:val="en-US"/>
              </w:rPr>
              <w:t xml:space="preserve"> </w:t>
            </w:r>
            <w:r w:rsidR="00463BBF" w:rsidRPr="006666AD">
              <w:rPr>
                <w:rFonts w:ascii="Arial" w:eastAsia="Calibri" w:hAnsi="Arial" w:cs="Arial"/>
                <w:sz w:val="24"/>
                <w:szCs w:val="24"/>
                <w:lang w:val="en-US"/>
              </w:rPr>
              <w:t xml:space="preserve">  (</w:t>
            </w:r>
            <w:proofErr w:type="gramEnd"/>
            <w:r w:rsidRPr="006666AD">
              <w:rPr>
                <w:rFonts w:ascii="Arial" w:eastAsia="Calibri" w:hAnsi="Arial" w:cs="Arial"/>
                <w:sz w:val="24"/>
                <w:lang w:val="en-US"/>
              </w:rPr>
              <w:t>μg L</w:t>
            </w:r>
            <w:r w:rsidRPr="006666AD">
              <w:rPr>
                <w:rFonts w:ascii="Arial" w:eastAsia="Calibri" w:hAnsi="Arial" w:cs="Arial"/>
                <w:sz w:val="24"/>
                <w:vertAlign w:val="superscript"/>
                <w:lang w:val="en-US"/>
              </w:rPr>
              <w:t>-1</w:t>
            </w:r>
            <w:r w:rsidRPr="006666AD">
              <w:rPr>
                <w:rFonts w:ascii="Arial" w:eastAsia="Calibri" w:hAnsi="Arial" w:cs="Arial"/>
                <w:sz w:val="24"/>
                <w:lang w:val="en-US"/>
              </w:rPr>
              <w:t>)</w:t>
            </w:r>
          </w:p>
        </w:tc>
        <w:tc>
          <w:tcPr>
            <w:tcW w:w="1134" w:type="dxa"/>
            <w:tcBorders>
              <w:top w:val="single" w:sz="4" w:space="0" w:color="auto"/>
              <w:bottom w:val="single" w:sz="4" w:space="0" w:color="auto"/>
            </w:tcBorders>
          </w:tcPr>
          <w:p w14:paraId="2686A7AA" w14:textId="657A8DDF" w:rsidR="006666AD" w:rsidRPr="006666AD" w:rsidRDefault="006666AD" w:rsidP="006666AD">
            <w:pPr>
              <w:jc w:val="center"/>
              <w:rPr>
                <w:rFonts w:ascii="Arial" w:eastAsia="Calibri" w:hAnsi="Arial" w:cs="Arial"/>
                <w:sz w:val="24"/>
                <w:szCs w:val="24"/>
                <w:lang w:val="en-US"/>
              </w:rPr>
            </w:pPr>
            <w:proofErr w:type="spellStart"/>
            <w:r w:rsidRPr="006666AD">
              <w:rPr>
                <w:rFonts w:ascii="Arial" w:eastAsia="Calibri" w:hAnsi="Arial" w:cs="Arial"/>
                <w:sz w:val="24"/>
                <w:szCs w:val="24"/>
                <w:lang w:val="en-US"/>
              </w:rPr>
              <w:t>A</w:t>
            </w:r>
            <w:r w:rsidRPr="00864295">
              <w:rPr>
                <w:rFonts w:ascii="Arial" w:eastAsia="Calibri" w:hAnsi="Arial" w:cs="Arial"/>
                <w:sz w:val="24"/>
                <w:szCs w:val="24"/>
                <w:lang w:val="en-US"/>
              </w:rPr>
              <w:t>ñadido</w:t>
            </w:r>
            <w:proofErr w:type="spellEnd"/>
            <w:r w:rsidRPr="006666AD">
              <w:rPr>
                <w:rFonts w:ascii="Arial" w:eastAsia="Calibri" w:hAnsi="Arial" w:cs="Arial"/>
                <w:sz w:val="24"/>
                <w:szCs w:val="24"/>
                <w:lang w:val="en-US"/>
              </w:rPr>
              <w:t xml:space="preserve">     </w:t>
            </w:r>
            <w:proofErr w:type="gramStart"/>
            <w:r w:rsidRPr="006666AD">
              <w:rPr>
                <w:rFonts w:ascii="Arial" w:eastAsia="Calibri" w:hAnsi="Arial" w:cs="Arial"/>
                <w:sz w:val="24"/>
                <w:szCs w:val="24"/>
                <w:lang w:val="en-US"/>
              </w:rPr>
              <w:t xml:space="preserve">   (</w:t>
            </w:r>
            <w:proofErr w:type="gramEnd"/>
            <w:r w:rsidRPr="006666AD">
              <w:rPr>
                <w:rFonts w:ascii="Arial" w:eastAsia="Calibri" w:hAnsi="Arial" w:cs="Arial"/>
                <w:sz w:val="24"/>
                <w:lang w:val="en-US"/>
              </w:rPr>
              <w:t>μg L</w:t>
            </w:r>
            <w:r w:rsidRPr="006666AD">
              <w:rPr>
                <w:rFonts w:ascii="Arial" w:eastAsia="Calibri" w:hAnsi="Arial" w:cs="Arial"/>
                <w:sz w:val="24"/>
                <w:vertAlign w:val="superscript"/>
                <w:lang w:val="en-US"/>
              </w:rPr>
              <w:t>-1</w:t>
            </w:r>
            <w:r w:rsidRPr="006666AD">
              <w:rPr>
                <w:rFonts w:ascii="Arial" w:eastAsia="Calibri" w:hAnsi="Arial" w:cs="Arial"/>
                <w:sz w:val="24"/>
                <w:lang w:val="en-US"/>
              </w:rPr>
              <w:t>)</w:t>
            </w:r>
          </w:p>
        </w:tc>
        <w:tc>
          <w:tcPr>
            <w:tcW w:w="1418" w:type="dxa"/>
            <w:tcBorders>
              <w:top w:val="single" w:sz="4" w:space="0" w:color="auto"/>
              <w:bottom w:val="single" w:sz="4" w:space="0" w:color="auto"/>
            </w:tcBorders>
          </w:tcPr>
          <w:p w14:paraId="16DAEEB7" w14:textId="6828A096" w:rsidR="006666AD" w:rsidRPr="006666AD" w:rsidRDefault="006666AD" w:rsidP="006666AD">
            <w:pPr>
              <w:jc w:val="center"/>
              <w:rPr>
                <w:rFonts w:ascii="Arial" w:eastAsia="Calibri" w:hAnsi="Arial" w:cs="Arial"/>
                <w:sz w:val="24"/>
                <w:szCs w:val="24"/>
                <w:lang w:val="en-US"/>
              </w:rPr>
            </w:pPr>
            <w:proofErr w:type="spellStart"/>
            <w:r w:rsidRPr="00864295">
              <w:rPr>
                <w:rFonts w:ascii="Arial" w:eastAsia="Calibri" w:hAnsi="Arial" w:cs="Arial"/>
                <w:sz w:val="24"/>
                <w:szCs w:val="24"/>
                <w:lang w:val="en-US"/>
              </w:rPr>
              <w:t>Encontrado</w:t>
            </w:r>
            <w:proofErr w:type="spellEnd"/>
            <w:r w:rsidRPr="006666AD">
              <w:rPr>
                <w:rFonts w:ascii="Arial" w:eastAsia="Calibri" w:hAnsi="Arial" w:cs="Arial"/>
                <w:sz w:val="24"/>
                <w:szCs w:val="24"/>
                <w:lang w:val="en-US"/>
              </w:rPr>
              <w:t xml:space="preserve">             </w:t>
            </w:r>
            <w:proofErr w:type="gramStart"/>
            <w:r w:rsidRPr="006666AD">
              <w:rPr>
                <w:rFonts w:ascii="Arial" w:eastAsia="Calibri" w:hAnsi="Arial" w:cs="Arial"/>
                <w:sz w:val="24"/>
                <w:szCs w:val="24"/>
                <w:lang w:val="en-US"/>
              </w:rPr>
              <w:t xml:space="preserve">   (</w:t>
            </w:r>
            <w:proofErr w:type="gramEnd"/>
            <w:r w:rsidRPr="006666AD">
              <w:rPr>
                <w:rFonts w:ascii="Arial" w:eastAsia="Calibri" w:hAnsi="Arial" w:cs="Arial"/>
                <w:sz w:val="24"/>
                <w:lang w:val="en-US"/>
              </w:rPr>
              <w:t>μg L</w:t>
            </w:r>
            <w:r w:rsidRPr="006666AD">
              <w:rPr>
                <w:rFonts w:ascii="Arial" w:eastAsia="Calibri" w:hAnsi="Arial" w:cs="Arial"/>
                <w:sz w:val="24"/>
                <w:vertAlign w:val="superscript"/>
                <w:lang w:val="en-US"/>
              </w:rPr>
              <w:t>-1</w:t>
            </w:r>
            <w:r w:rsidRPr="006666AD">
              <w:rPr>
                <w:rFonts w:ascii="Arial" w:eastAsia="Calibri" w:hAnsi="Arial" w:cs="Arial"/>
                <w:sz w:val="24"/>
                <w:lang w:val="en-US"/>
              </w:rPr>
              <w:t>)</w:t>
            </w:r>
          </w:p>
        </w:tc>
        <w:tc>
          <w:tcPr>
            <w:tcW w:w="1368" w:type="dxa"/>
            <w:tcBorders>
              <w:top w:val="single" w:sz="4" w:space="0" w:color="auto"/>
              <w:bottom w:val="single" w:sz="4" w:space="0" w:color="auto"/>
            </w:tcBorders>
          </w:tcPr>
          <w:p w14:paraId="2F684C27" w14:textId="2171F4DD" w:rsidR="006666AD" w:rsidRPr="00864295" w:rsidRDefault="006666AD" w:rsidP="006666AD">
            <w:pPr>
              <w:jc w:val="center"/>
              <w:rPr>
                <w:rFonts w:ascii="Arial" w:eastAsia="Calibri" w:hAnsi="Arial" w:cs="Arial"/>
                <w:sz w:val="24"/>
                <w:szCs w:val="24"/>
                <w:lang w:val="en-US"/>
              </w:rPr>
            </w:pPr>
            <w:proofErr w:type="spellStart"/>
            <w:r w:rsidRPr="00864295">
              <w:rPr>
                <w:rFonts w:ascii="Arial" w:eastAsia="Calibri" w:hAnsi="Arial" w:cs="Arial"/>
                <w:sz w:val="24"/>
                <w:szCs w:val="24"/>
                <w:lang w:val="en-US"/>
              </w:rPr>
              <w:t>Recuperación</w:t>
            </w:r>
            <w:proofErr w:type="spellEnd"/>
          </w:p>
          <w:p w14:paraId="6804A0AB" w14:textId="543FD201" w:rsidR="006666AD" w:rsidRPr="006666AD" w:rsidRDefault="006666AD" w:rsidP="006666AD">
            <w:pPr>
              <w:jc w:val="center"/>
              <w:rPr>
                <w:rFonts w:ascii="Arial" w:eastAsia="Calibri" w:hAnsi="Arial" w:cs="Arial"/>
                <w:sz w:val="24"/>
                <w:szCs w:val="24"/>
                <w:lang w:val="en-US"/>
              </w:rPr>
            </w:pPr>
            <w:r w:rsidRPr="006666AD">
              <w:rPr>
                <w:rFonts w:ascii="Arial" w:eastAsia="Calibri" w:hAnsi="Arial" w:cs="Arial"/>
                <w:sz w:val="24"/>
                <w:szCs w:val="24"/>
                <w:lang w:val="en-US"/>
              </w:rPr>
              <w:t>(%)</w:t>
            </w:r>
          </w:p>
        </w:tc>
        <w:tc>
          <w:tcPr>
            <w:tcW w:w="1444" w:type="dxa"/>
            <w:tcBorders>
              <w:top w:val="single" w:sz="4" w:space="0" w:color="auto"/>
              <w:bottom w:val="single" w:sz="4" w:space="0" w:color="auto"/>
            </w:tcBorders>
          </w:tcPr>
          <w:p w14:paraId="1494B72F" w14:textId="77777777" w:rsidR="006666AD" w:rsidRPr="006666AD" w:rsidRDefault="006666AD" w:rsidP="006666AD">
            <w:pPr>
              <w:jc w:val="center"/>
              <w:rPr>
                <w:rFonts w:ascii="Arial" w:eastAsia="Calibri" w:hAnsi="Arial" w:cs="Arial"/>
                <w:sz w:val="24"/>
                <w:szCs w:val="24"/>
                <w:lang w:val="en-US"/>
              </w:rPr>
            </w:pPr>
            <w:r w:rsidRPr="006666AD">
              <w:rPr>
                <w:rFonts w:ascii="Arial" w:eastAsia="Calibri" w:hAnsi="Arial" w:cs="Arial"/>
                <w:sz w:val="24"/>
                <w:szCs w:val="24"/>
                <w:lang w:val="en-US"/>
              </w:rPr>
              <w:t xml:space="preserve">RSD             </w:t>
            </w:r>
            <w:proofErr w:type="gramStart"/>
            <w:r w:rsidRPr="006666AD">
              <w:rPr>
                <w:rFonts w:ascii="Arial" w:eastAsia="Calibri" w:hAnsi="Arial" w:cs="Arial"/>
                <w:sz w:val="24"/>
                <w:szCs w:val="24"/>
                <w:lang w:val="en-US"/>
              </w:rPr>
              <w:t xml:space="preserve">   (</w:t>
            </w:r>
            <w:proofErr w:type="gramEnd"/>
            <w:r w:rsidRPr="006666AD">
              <w:rPr>
                <w:rFonts w:ascii="Arial" w:eastAsia="Calibri" w:hAnsi="Arial" w:cs="Arial"/>
                <w:sz w:val="24"/>
                <w:szCs w:val="24"/>
                <w:lang w:val="en-US"/>
              </w:rPr>
              <w:t>%)</w:t>
            </w:r>
          </w:p>
        </w:tc>
      </w:tr>
      <w:tr w:rsidR="006666AD" w:rsidRPr="006666AD" w14:paraId="2F761D3C" w14:textId="77777777" w:rsidTr="00864295">
        <w:trPr>
          <w:jc w:val="center"/>
        </w:trPr>
        <w:tc>
          <w:tcPr>
            <w:tcW w:w="2268" w:type="dxa"/>
            <w:tcBorders>
              <w:top w:val="single" w:sz="4" w:space="0" w:color="auto"/>
            </w:tcBorders>
          </w:tcPr>
          <w:p w14:paraId="5FFB5E61" w14:textId="725FDC87" w:rsidR="006666AD" w:rsidRPr="006666AD" w:rsidRDefault="006666AD" w:rsidP="006666AD">
            <w:pPr>
              <w:jc w:val="both"/>
              <w:rPr>
                <w:rFonts w:ascii="Arial" w:eastAsia="Calibri" w:hAnsi="Arial" w:cs="Arial"/>
                <w:sz w:val="24"/>
                <w:szCs w:val="24"/>
                <w:lang w:val="en-US"/>
              </w:rPr>
            </w:pPr>
            <w:r w:rsidRPr="00864295">
              <w:rPr>
                <w:rFonts w:ascii="Arial" w:eastAsia="Calibri" w:hAnsi="Arial" w:cs="Arial"/>
                <w:sz w:val="24"/>
                <w:lang w:val="en-US"/>
              </w:rPr>
              <w:t>Agua potable</w:t>
            </w:r>
            <w:r w:rsidRPr="006666AD">
              <w:rPr>
                <w:rFonts w:ascii="Arial" w:eastAsia="Calibri" w:hAnsi="Arial" w:cs="Arial"/>
                <w:sz w:val="24"/>
                <w:lang w:val="en-US"/>
              </w:rPr>
              <w:t xml:space="preserve"> 1</w:t>
            </w:r>
          </w:p>
        </w:tc>
        <w:tc>
          <w:tcPr>
            <w:tcW w:w="1276" w:type="dxa"/>
            <w:tcBorders>
              <w:top w:val="single" w:sz="4" w:space="0" w:color="auto"/>
            </w:tcBorders>
          </w:tcPr>
          <w:p w14:paraId="49609C7C" w14:textId="77777777" w:rsidR="006666AD" w:rsidRPr="006666AD" w:rsidRDefault="006666AD" w:rsidP="006666AD">
            <w:pPr>
              <w:jc w:val="center"/>
              <w:rPr>
                <w:rFonts w:ascii="Arial" w:eastAsia="Calibri" w:hAnsi="Arial" w:cs="Arial"/>
                <w:sz w:val="24"/>
                <w:szCs w:val="24"/>
                <w:lang w:val="en-US"/>
              </w:rPr>
            </w:pPr>
            <w:r w:rsidRPr="006666AD">
              <w:rPr>
                <w:rFonts w:ascii="Arial" w:eastAsia="Calibri" w:hAnsi="Arial" w:cs="Arial"/>
                <w:sz w:val="24"/>
                <w:szCs w:val="24"/>
                <w:lang w:val="en-US"/>
              </w:rPr>
              <w:t>ND</w:t>
            </w:r>
          </w:p>
        </w:tc>
        <w:tc>
          <w:tcPr>
            <w:tcW w:w="1134" w:type="dxa"/>
            <w:tcBorders>
              <w:top w:val="single" w:sz="4" w:space="0" w:color="auto"/>
            </w:tcBorders>
          </w:tcPr>
          <w:p w14:paraId="1A601472" w14:textId="342F251F" w:rsidR="006666AD" w:rsidRPr="006666AD" w:rsidRDefault="006666AD" w:rsidP="006666AD">
            <w:pPr>
              <w:jc w:val="center"/>
              <w:rPr>
                <w:rFonts w:ascii="Arial" w:eastAsia="Calibri" w:hAnsi="Arial" w:cs="Arial"/>
                <w:sz w:val="24"/>
                <w:szCs w:val="24"/>
                <w:lang w:val="en-US"/>
              </w:rPr>
            </w:pPr>
            <w:r w:rsidRPr="006666AD">
              <w:rPr>
                <w:rFonts w:ascii="Arial" w:eastAsia="Calibri" w:hAnsi="Arial" w:cs="Arial"/>
                <w:sz w:val="24"/>
                <w:szCs w:val="24"/>
                <w:lang w:val="en-US"/>
              </w:rPr>
              <w:t>5</w:t>
            </w:r>
          </w:p>
        </w:tc>
        <w:tc>
          <w:tcPr>
            <w:tcW w:w="1418" w:type="dxa"/>
            <w:tcBorders>
              <w:top w:val="single" w:sz="4" w:space="0" w:color="auto"/>
            </w:tcBorders>
          </w:tcPr>
          <w:p w14:paraId="72FD1342" w14:textId="77777777" w:rsidR="006666AD" w:rsidRPr="006666AD" w:rsidRDefault="006666AD" w:rsidP="006666AD">
            <w:pPr>
              <w:jc w:val="center"/>
              <w:rPr>
                <w:rFonts w:ascii="Arial" w:eastAsia="Calibri" w:hAnsi="Arial" w:cs="Arial"/>
                <w:sz w:val="24"/>
                <w:szCs w:val="24"/>
                <w:lang w:val="en-US"/>
              </w:rPr>
            </w:pPr>
            <w:r w:rsidRPr="006666AD">
              <w:rPr>
                <w:rFonts w:ascii="Arial" w:eastAsia="Calibri" w:hAnsi="Arial" w:cs="Arial"/>
                <w:sz w:val="24"/>
                <w:szCs w:val="24"/>
                <w:lang w:val="en-US"/>
              </w:rPr>
              <w:t>5.0987</w:t>
            </w:r>
          </w:p>
        </w:tc>
        <w:tc>
          <w:tcPr>
            <w:tcW w:w="1368" w:type="dxa"/>
            <w:tcBorders>
              <w:top w:val="single" w:sz="4" w:space="0" w:color="auto"/>
            </w:tcBorders>
          </w:tcPr>
          <w:p w14:paraId="71D8AD81" w14:textId="77777777" w:rsidR="006666AD" w:rsidRPr="006666AD" w:rsidRDefault="006666AD" w:rsidP="006666AD">
            <w:pPr>
              <w:jc w:val="center"/>
              <w:rPr>
                <w:rFonts w:ascii="Arial" w:eastAsia="Calibri" w:hAnsi="Arial" w:cs="Arial"/>
                <w:sz w:val="24"/>
                <w:szCs w:val="24"/>
                <w:lang w:val="en-US"/>
              </w:rPr>
            </w:pPr>
            <w:r w:rsidRPr="006666AD">
              <w:rPr>
                <w:rFonts w:ascii="Arial" w:eastAsia="Calibri" w:hAnsi="Arial" w:cs="Arial"/>
                <w:sz w:val="24"/>
                <w:szCs w:val="24"/>
                <w:lang w:val="en-US"/>
              </w:rPr>
              <w:t>101.974</w:t>
            </w:r>
          </w:p>
        </w:tc>
        <w:tc>
          <w:tcPr>
            <w:tcW w:w="1444" w:type="dxa"/>
            <w:tcBorders>
              <w:top w:val="single" w:sz="4" w:space="0" w:color="auto"/>
            </w:tcBorders>
          </w:tcPr>
          <w:p w14:paraId="208528AC" w14:textId="77777777" w:rsidR="006666AD" w:rsidRPr="006666AD" w:rsidRDefault="006666AD" w:rsidP="006666AD">
            <w:pPr>
              <w:jc w:val="center"/>
              <w:rPr>
                <w:rFonts w:ascii="Arial" w:eastAsia="Calibri" w:hAnsi="Arial" w:cs="Arial"/>
                <w:sz w:val="24"/>
                <w:szCs w:val="24"/>
                <w:lang w:val="en-US"/>
              </w:rPr>
            </w:pPr>
            <w:r w:rsidRPr="006666AD">
              <w:rPr>
                <w:rFonts w:ascii="Arial" w:eastAsia="Calibri" w:hAnsi="Arial" w:cs="Arial"/>
                <w:sz w:val="24"/>
                <w:szCs w:val="24"/>
                <w:lang w:val="en-US"/>
              </w:rPr>
              <w:t>2.987</w:t>
            </w:r>
          </w:p>
        </w:tc>
      </w:tr>
      <w:tr w:rsidR="006666AD" w:rsidRPr="006666AD" w14:paraId="44832098" w14:textId="77777777" w:rsidTr="00864295">
        <w:trPr>
          <w:jc w:val="center"/>
        </w:trPr>
        <w:tc>
          <w:tcPr>
            <w:tcW w:w="2268" w:type="dxa"/>
          </w:tcPr>
          <w:p w14:paraId="614C5CF6" w14:textId="54C744AD" w:rsidR="006666AD" w:rsidRPr="006666AD" w:rsidRDefault="006666AD" w:rsidP="006666AD">
            <w:pPr>
              <w:jc w:val="both"/>
              <w:rPr>
                <w:rFonts w:ascii="Arial" w:eastAsia="Calibri" w:hAnsi="Arial" w:cs="Arial"/>
                <w:sz w:val="24"/>
                <w:szCs w:val="24"/>
                <w:lang w:val="en-US"/>
              </w:rPr>
            </w:pPr>
            <w:r w:rsidRPr="00864295">
              <w:rPr>
                <w:rFonts w:ascii="Arial" w:eastAsia="Calibri" w:hAnsi="Arial" w:cs="Arial"/>
                <w:sz w:val="24"/>
                <w:lang w:val="en-US"/>
              </w:rPr>
              <w:t>Agua potable</w:t>
            </w:r>
            <w:r w:rsidRPr="006666AD">
              <w:rPr>
                <w:rFonts w:ascii="Arial" w:eastAsia="Calibri" w:hAnsi="Arial" w:cs="Arial"/>
                <w:sz w:val="24"/>
                <w:lang w:val="en-US"/>
              </w:rPr>
              <w:t xml:space="preserve"> 2</w:t>
            </w:r>
          </w:p>
        </w:tc>
        <w:tc>
          <w:tcPr>
            <w:tcW w:w="1276" w:type="dxa"/>
          </w:tcPr>
          <w:p w14:paraId="49974539" w14:textId="77777777" w:rsidR="006666AD" w:rsidRPr="006666AD" w:rsidRDefault="006666AD" w:rsidP="006666AD">
            <w:pPr>
              <w:jc w:val="center"/>
              <w:rPr>
                <w:rFonts w:ascii="Arial" w:eastAsia="Calibri" w:hAnsi="Arial" w:cs="Arial"/>
                <w:sz w:val="24"/>
                <w:szCs w:val="24"/>
                <w:lang w:val="en-US"/>
              </w:rPr>
            </w:pPr>
            <w:r w:rsidRPr="006666AD">
              <w:rPr>
                <w:rFonts w:ascii="Arial" w:eastAsia="Calibri" w:hAnsi="Arial" w:cs="Arial"/>
                <w:sz w:val="24"/>
                <w:szCs w:val="24"/>
                <w:lang w:val="en-US"/>
              </w:rPr>
              <w:t>ND</w:t>
            </w:r>
          </w:p>
        </w:tc>
        <w:tc>
          <w:tcPr>
            <w:tcW w:w="1134" w:type="dxa"/>
          </w:tcPr>
          <w:p w14:paraId="4B477F36" w14:textId="50F80A17" w:rsidR="006666AD" w:rsidRPr="006666AD" w:rsidRDefault="006666AD" w:rsidP="006666AD">
            <w:pPr>
              <w:jc w:val="center"/>
              <w:rPr>
                <w:rFonts w:ascii="Arial" w:eastAsia="Calibri" w:hAnsi="Arial" w:cs="Arial"/>
                <w:sz w:val="24"/>
                <w:szCs w:val="24"/>
                <w:lang w:val="en-US"/>
              </w:rPr>
            </w:pPr>
            <w:r w:rsidRPr="006666AD">
              <w:rPr>
                <w:rFonts w:ascii="Arial" w:eastAsia="Calibri" w:hAnsi="Arial" w:cs="Arial"/>
                <w:sz w:val="24"/>
                <w:szCs w:val="24"/>
                <w:lang w:val="en-US"/>
              </w:rPr>
              <w:t>10</w:t>
            </w:r>
          </w:p>
        </w:tc>
        <w:tc>
          <w:tcPr>
            <w:tcW w:w="1418" w:type="dxa"/>
          </w:tcPr>
          <w:p w14:paraId="10E81CDA" w14:textId="77777777" w:rsidR="006666AD" w:rsidRPr="006666AD" w:rsidRDefault="006666AD" w:rsidP="006666AD">
            <w:pPr>
              <w:jc w:val="center"/>
              <w:rPr>
                <w:rFonts w:ascii="Arial" w:eastAsia="Calibri" w:hAnsi="Arial" w:cs="Arial"/>
                <w:sz w:val="24"/>
                <w:szCs w:val="24"/>
                <w:lang w:val="en-US"/>
              </w:rPr>
            </w:pPr>
            <w:r w:rsidRPr="006666AD">
              <w:rPr>
                <w:rFonts w:ascii="Arial" w:eastAsia="Calibri" w:hAnsi="Arial" w:cs="Arial"/>
                <w:sz w:val="24"/>
                <w:szCs w:val="24"/>
                <w:lang w:val="en-US"/>
              </w:rPr>
              <w:t>9.8069</w:t>
            </w:r>
          </w:p>
        </w:tc>
        <w:tc>
          <w:tcPr>
            <w:tcW w:w="1368" w:type="dxa"/>
          </w:tcPr>
          <w:p w14:paraId="33A78FB1" w14:textId="77777777" w:rsidR="006666AD" w:rsidRPr="006666AD" w:rsidRDefault="006666AD" w:rsidP="006666AD">
            <w:pPr>
              <w:jc w:val="center"/>
              <w:rPr>
                <w:rFonts w:ascii="Arial" w:eastAsia="Calibri" w:hAnsi="Arial" w:cs="Arial"/>
                <w:sz w:val="24"/>
                <w:szCs w:val="24"/>
                <w:lang w:val="en-US"/>
              </w:rPr>
            </w:pPr>
            <w:r w:rsidRPr="006666AD">
              <w:rPr>
                <w:rFonts w:ascii="Arial" w:eastAsia="Calibri" w:hAnsi="Arial" w:cs="Arial"/>
                <w:sz w:val="24"/>
                <w:szCs w:val="24"/>
                <w:lang w:val="en-US"/>
              </w:rPr>
              <w:t>98.069</w:t>
            </w:r>
          </w:p>
        </w:tc>
        <w:tc>
          <w:tcPr>
            <w:tcW w:w="1444" w:type="dxa"/>
          </w:tcPr>
          <w:p w14:paraId="3E40517E" w14:textId="77777777" w:rsidR="006666AD" w:rsidRPr="006666AD" w:rsidRDefault="006666AD" w:rsidP="006666AD">
            <w:pPr>
              <w:jc w:val="center"/>
              <w:rPr>
                <w:rFonts w:ascii="Arial" w:eastAsia="Calibri" w:hAnsi="Arial" w:cs="Arial"/>
                <w:sz w:val="24"/>
                <w:szCs w:val="24"/>
                <w:lang w:val="en-US"/>
              </w:rPr>
            </w:pPr>
            <w:r w:rsidRPr="006666AD">
              <w:rPr>
                <w:rFonts w:ascii="Arial" w:eastAsia="Calibri" w:hAnsi="Arial" w:cs="Arial"/>
                <w:sz w:val="24"/>
                <w:szCs w:val="24"/>
                <w:lang w:val="en-US"/>
              </w:rPr>
              <w:t>2.139</w:t>
            </w:r>
          </w:p>
        </w:tc>
      </w:tr>
      <w:tr w:rsidR="006666AD" w:rsidRPr="006666AD" w14:paraId="136F5D41" w14:textId="77777777" w:rsidTr="00864295">
        <w:trPr>
          <w:jc w:val="center"/>
        </w:trPr>
        <w:tc>
          <w:tcPr>
            <w:tcW w:w="2268" w:type="dxa"/>
          </w:tcPr>
          <w:p w14:paraId="75864E8B" w14:textId="5B2A07E6" w:rsidR="006666AD" w:rsidRPr="006666AD" w:rsidRDefault="006666AD" w:rsidP="006666AD">
            <w:pPr>
              <w:jc w:val="both"/>
              <w:rPr>
                <w:rFonts w:ascii="Arial" w:eastAsia="Calibri" w:hAnsi="Arial" w:cs="Arial"/>
                <w:sz w:val="24"/>
                <w:szCs w:val="24"/>
                <w:lang w:val="en-US"/>
              </w:rPr>
            </w:pPr>
            <w:r w:rsidRPr="00864295">
              <w:rPr>
                <w:rFonts w:ascii="Arial" w:eastAsia="Calibri" w:hAnsi="Arial" w:cs="Arial"/>
                <w:sz w:val="24"/>
                <w:lang w:val="en-US"/>
              </w:rPr>
              <w:t xml:space="preserve">Agua del </w:t>
            </w:r>
            <w:proofErr w:type="spellStart"/>
            <w:r w:rsidRPr="00864295">
              <w:rPr>
                <w:rFonts w:ascii="Arial" w:eastAsia="Calibri" w:hAnsi="Arial" w:cs="Arial"/>
                <w:sz w:val="24"/>
                <w:lang w:val="en-US"/>
              </w:rPr>
              <w:t>grifo</w:t>
            </w:r>
            <w:proofErr w:type="spellEnd"/>
            <w:r w:rsidRPr="006666AD">
              <w:rPr>
                <w:rFonts w:ascii="Arial" w:eastAsia="Calibri" w:hAnsi="Arial" w:cs="Arial"/>
                <w:sz w:val="24"/>
                <w:lang w:val="en-US"/>
              </w:rPr>
              <w:t xml:space="preserve"> 1</w:t>
            </w:r>
          </w:p>
        </w:tc>
        <w:tc>
          <w:tcPr>
            <w:tcW w:w="1276" w:type="dxa"/>
          </w:tcPr>
          <w:p w14:paraId="3C8016D8" w14:textId="77777777" w:rsidR="006666AD" w:rsidRPr="006666AD" w:rsidRDefault="006666AD" w:rsidP="006666AD">
            <w:pPr>
              <w:jc w:val="center"/>
              <w:rPr>
                <w:rFonts w:ascii="Arial" w:eastAsia="Calibri" w:hAnsi="Arial" w:cs="Arial"/>
                <w:sz w:val="24"/>
                <w:szCs w:val="24"/>
                <w:lang w:val="en-US"/>
              </w:rPr>
            </w:pPr>
            <w:r w:rsidRPr="006666AD">
              <w:rPr>
                <w:rFonts w:ascii="Arial" w:eastAsia="Calibri" w:hAnsi="Arial" w:cs="Arial"/>
                <w:sz w:val="24"/>
                <w:szCs w:val="24"/>
                <w:lang w:val="en-US"/>
              </w:rPr>
              <w:t>ND</w:t>
            </w:r>
          </w:p>
        </w:tc>
        <w:tc>
          <w:tcPr>
            <w:tcW w:w="1134" w:type="dxa"/>
          </w:tcPr>
          <w:p w14:paraId="18F92920" w14:textId="77777777" w:rsidR="006666AD" w:rsidRPr="006666AD" w:rsidRDefault="006666AD" w:rsidP="006666AD">
            <w:pPr>
              <w:jc w:val="center"/>
              <w:rPr>
                <w:rFonts w:ascii="Arial" w:eastAsia="Calibri" w:hAnsi="Arial" w:cs="Arial"/>
                <w:sz w:val="24"/>
                <w:szCs w:val="24"/>
                <w:lang w:val="en-US"/>
              </w:rPr>
            </w:pPr>
            <w:r w:rsidRPr="006666AD">
              <w:rPr>
                <w:rFonts w:ascii="Arial" w:eastAsia="Calibri" w:hAnsi="Arial" w:cs="Arial"/>
                <w:sz w:val="24"/>
                <w:szCs w:val="24"/>
                <w:lang w:val="en-US"/>
              </w:rPr>
              <w:t>5</w:t>
            </w:r>
          </w:p>
        </w:tc>
        <w:tc>
          <w:tcPr>
            <w:tcW w:w="1418" w:type="dxa"/>
          </w:tcPr>
          <w:p w14:paraId="29AB5D22" w14:textId="77777777" w:rsidR="006666AD" w:rsidRPr="006666AD" w:rsidRDefault="006666AD" w:rsidP="006666AD">
            <w:pPr>
              <w:jc w:val="center"/>
              <w:rPr>
                <w:rFonts w:ascii="Arial" w:eastAsia="Calibri" w:hAnsi="Arial" w:cs="Arial"/>
                <w:sz w:val="24"/>
                <w:szCs w:val="24"/>
                <w:lang w:val="en-US"/>
              </w:rPr>
            </w:pPr>
            <w:r w:rsidRPr="006666AD">
              <w:rPr>
                <w:rFonts w:ascii="Arial" w:eastAsia="Calibri" w:hAnsi="Arial" w:cs="Arial"/>
                <w:sz w:val="24"/>
                <w:szCs w:val="24"/>
                <w:lang w:val="en-US"/>
              </w:rPr>
              <w:t>4.9543</w:t>
            </w:r>
          </w:p>
        </w:tc>
        <w:tc>
          <w:tcPr>
            <w:tcW w:w="1368" w:type="dxa"/>
          </w:tcPr>
          <w:p w14:paraId="2E20B725" w14:textId="77777777" w:rsidR="006666AD" w:rsidRPr="006666AD" w:rsidRDefault="006666AD" w:rsidP="006666AD">
            <w:pPr>
              <w:jc w:val="center"/>
              <w:rPr>
                <w:rFonts w:ascii="Arial" w:eastAsia="Calibri" w:hAnsi="Arial" w:cs="Arial"/>
                <w:sz w:val="24"/>
                <w:szCs w:val="24"/>
                <w:lang w:val="en-US"/>
              </w:rPr>
            </w:pPr>
            <w:r w:rsidRPr="006666AD">
              <w:rPr>
                <w:rFonts w:ascii="Arial" w:eastAsia="Calibri" w:hAnsi="Arial" w:cs="Arial"/>
                <w:sz w:val="24"/>
                <w:szCs w:val="24"/>
                <w:lang w:val="en-US"/>
              </w:rPr>
              <w:t>99.087</w:t>
            </w:r>
          </w:p>
        </w:tc>
        <w:tc>
          <w:tcPr>
            <w:tcW w:w="1444" w:type="dxa"/>
          </w:tcPr>
          <w:p w14:paraId="381EDF75" w14:textId="77777777" w:rsidR="006666AD" w:rsidRPr="006666AD" w:rsidRDefault="006666AD" w:rsidP="006666AD">
            <w:pPr>
              <w:jc w:val="center"/>
              <w:rPr>
                <w:rFonts w:ascii="Arial" w:eastAsia="Calibri" w:hAnsi="Arial" w:cs="Arial"/>
                <w:sz w:val="24"/>
                <w:szCs w:val="24"/>
                <w:lang w:val="en-US"/>
              </w:rPr>
            </w:pPr>
            <w:r w:rsidRPr="006666AD">
              <w:rPr>
                <w:rFonts w:ascii="Arial" w:eastAsia="Calibri" w:hAnsi="Arial" w:cs="Arial"/>
                <w:sz w:val="24"/>
                <w:szCs w:val="24"/>
                <w:lang w:val="en-US"/>
              </w:rPr>
              <w:t>3.145</w:t>
            </w:r>
          </w:p>
        </w:tc>
      </w:tr>
      <w:tr w:rsidR="006666AD" w:rsidRPr="006666AD" w14:paraId="6F2F2A39" w14:textId="77777777" w:rsidTr="00864295">
        <w:trPr>
          <w:jc w:val="center"/>
        </w:trPr>
        <w:tc>
          <w:tcPr>
            <w:tcW w:w="2268" w:type="dxa"/>
          </w:tcPr>
          <w:p w14:paraId="3259409C" w14:textId="2616E3E4" w:rsidR="006666AD" w:rsidRPr="006666AD" w:rsidRDefault="006666AD" w:rsidP="006666AD">
            <w:pPr>
              <w:jc w:val="both"/>
              <w:rPr>
                <w:rFonts w:ascii="Arial" w:eastAsia="Calibri" w:hAnsi="Arial" w:cs="Arial"/>
                <w:sz w:val="24"/>
                <w:szCs w:val="24"/>
                <w:lang w:val="en-US"/>
              </w:rPr>
            </w:pPr>
            <w:r w:rsidRPr="00864295">
              <w:rPr>
                <w:rFonts w:ascii="Arial" w:eastAsia="Calibri" w:hAnsi="Arial" w:cs="Arial"/>
                <w:sz w:val="24"/>
                <w:lang w:val="en-US"/>
              </w:rPr>
              <w:t xml:space="preserve">Agua del </w:t>
            </w:r>
            <w:proofErr w:type="spellStart"/>
            <w:r w:rsidRPr="00864295">
              <w:rPr>
                <w:rFonts w:ascii="Arial" w:eastAsia="Calibri" w:hAnsi="Arial" w:cs="Arial"/>
                <w:sz w:val="24"/>
                <w:lang w:val="en-US"/>
              </w:rPr>
              <w:t>grifo</w:t>
            </w:r>
            <w:proofErr w:type="spellEnd"/>
            <w:r w:rsidRPr="006666AD">
              <w:rPr>
                <w:rFonts w:ascii="Arial" w:eastAsia="Calibri" w:hAnsi="Arial" w:cs="Arial"/>
                <w:sz w:val="24"/>
                <w:lang w:val="en-US"/>
              </w:rPr>
              <w:t xml:space="preserve"> 2</w:t>
            </w:r>
          </w:p>
        </w:tc>
        <w:tc>
          <w:tcPr>
            <w:tcW w:w="1276" w:type="dxa"/>
          </w:tcPr>
          <w:p w14:paraId="25106AC7" w14:textId="77777777" w:rsidR="006666AD" w:rsidRPr="006666AD" w:rsidRDefault="006666AD" w:rsidP="006666AD">
            <w:pPr>
              <w:jc w:val="center"/>
              <w:rPr>
                <w:rFonts w:ascii="Arial" w:eastAsia="Calibri" w:hAnsi="Arial" w:cs="Arial"/>
                <w:sz w:val="24"/>
                <w:szCs w:val="24"/>
                <w:lang w:val="en-US"/>
              </w:rPr>
            </w:pPr>
            <w:r w:rsidRPr="006666AD">
              <w:rPr>
                <w:rFonts w:ascii="Arial" w:eastAsia="Calibri" w:hAnsi="Arial" w:cs="Arial"/>
                <w:sz w:val="24"/>
                <w:szCs w:val="24"/>
                <w:lang w:val="en-US"/>
              </w:rPr>
              <w:t>ND</w:t>
            </w:r>
          </w:p>
        </w:tc>
        <w:tc>
          <w:tcPr>
            <w:tcW w:w="1134" w:type="dxa"/>
          </w:tcPr>
          <w:p w14:paraId="01DD206D" w14:textId="64E3310F" w:rsidR="006666AD" w:rsidRPr="006666AD" w:rsidRDefault="006666AD" w:rsidP="006666AD">
            <w:pPr>
              <w:jc w:val="center"/>
              <w:rPr>
                <w:rFonts w:ascii="Arial" w:eastAsia="Calibri" w:hAnsi="Arial" w:cs="Arial"/>
                <w:sz w:val="24"/>
                <w:szCs w:val="24"/>
                <w:lang w:val="en-US"/>
              </w:rPr>
            </w:pPr>
            <w:r w:rsidRPr="006666AD">
              <w:rPr>
                <w:rFonts w:ascii="Arial" w:eastAsia="Calibri" w:hAnsi="Arial" w:cs="Arial"/>
                <w:sz w:val="24"/>
                <w:szCs w:val="24"/>
                <w:lang w:val="en-US"/>
              </w:rPr>
              <w:t>10</w:t>
            </w:r>
          </w:p>
        </w:tc>
        <w:tc>
          <w:tcPr>
            <w:tcW w:w="1418" w:type="dxa"/>
          </w:tcPr>
          <w:p w14:paraId="1B3197B1" w14:textId="77777777" w:rsidR="006666AD" w:rsidRPr="006666AD" w:rsidRDefault="006666AD" w:rsidP="006666AD">
            <w:pPr>
              <w:jc w:val="center"/>
              <w:rPr>
                <w:rFonts w:ascii="Arial" w:eastAsia="Calibri" w:hAnsi="Arial" w:cs="Arial"/>
                <w:sz w:val="24"/>
                <w:szCs w:val="24"/>
                <w:lang w:val="en-US"/>
              </w:rPr>
            </w:pPr>
            <w:r w:rsidRPr="006666AD">
              <w:rPr>
                <w:rFonts w:ascii="Arial" w:eastAsia="Calibri" w:hAnsi="Arial" w:cs="Arial"/>
                <w:sz w:val="24"/>
                <w:szCs w:val="24"/>
                <w:lang w:val="en-US"/>
              </w:rPr>
              <w:t>9.8519</w:t>
            </w:r>
          </w:p>
        </w:tc>
        <w:tc>
          <w:tcPr>
            <w:tcW w:w="1368" w:type="dxa"/>
          </w:tcPr>
          <w:p w14:paraId="58952D94" w14:textId="77777777" w:rsidR="006666AD" w:rsidRPr="006666AD" w:rsidRDefault="006666AD" w:rsidP="006666AD">
            <w:pPr>
              <w:jc w:val="center"/>
              <w:rPr>
                <w:rFonts w:ascii="Arial" w:eastAsia="Calibri" w:hAnsi="Arial" w:cs="Arial"/>
                <w:sz w:val="24"/>
                <w:szCs w:val="24"/>
                <w:lang w:val="en-US"/>
              </w:rPr>
            </w:pPr>
            <w:r w:rsidRPr="006666AD">
              <w:rPr>
                <w:rFonts w:ascii="Arial" w:eastAsia="Calibri" w:hAnsi="Arial" w:cs="Arial"/>
                <w:sz w:val="24"/>
                <w:szCs w:val="24"/>
                <w:lang w:val="en-US"/>
              </w:rPr>
              <w:t>98.519</w:t>
            </w:r>
          </w:p>
        </w:tc>
        <w:tc>
          <w:tcPr>
            <w:tcW w:w="1444" w:type="dxa"/>
          </w:tcPr>
          <w:p w14:paraId="6E027429" w14:textId="77777777" w:rsidR="006666AD" w:rsidRPr="006666AD" w:rsidRDefault="006666AD" w:rsidP="006666AD">
            <w:pPr>
              <w:jc w:val="center"/>
              <w:rPr>
                <w:rFonts w:ascii="Arial" w:eastAsia="Calibri" w:hAnsi="Arial" w:cs="Arial"/>
                <w:sz w:val="24"/>
                <w:szCs w:val="24"/>
                <w:lang w:val="en-US"/>
              </w:rPr>
            </w:pPr>
            <w:r w:rsidRPr="006666AD">
              <w:rPr>
                <w:rFonts w:ascii="Arial" w:eastAsia="Calibri" w:hAnsi="Arial" w:cs="Arial"/>
                <w:sz w:val="24"/>
                <w:szCs w:val="24"/>
                <w:lang w:val="en-US"/>
              </w:rPr>
              <w:t>3.977</w:t>
            </w:r>
          </w:p>
        </w:tc>
      </w:tr>
    </w:tbl>
    <w:p w14:paraId="2EA01D38" w14:textId="49B44420" w:rsidR="00050779" w:rsidRDefault="00050779" w:rsidP="00050779">
      <w:pPr>
        <w:tabs>
          <w:tab w:val="left" w:pos="2145"/>
        </w:tabs>
        <w:spacing w:line="360" w:lineRule="auto"/>
        <w:rPr>
          <w:rFonts w:ascii="Arial" w:hAnsi="Arial" w:cs="Arial"/>
          <w:bCs/>
          <w:sz w:val="20"/>
          <w:szCs w:val="18"/>
        </w:rPr>
      </w:pPr>
      <w:r w:rsidRPr="00050779">
        <w:rPr>
          <w:rFonts w:ascii="Arial" w:hAnsi="Arial" w:cs="Arial"/>
          <w:bCs/>
          <w:sz w:val="20"/>
          <w:szCs w:val="18"/>
        </w:rPr>
        <w:t>ND = No detectado</w:t>
      </w:r>
    </w:p>
    <w:p w14:paraId="3FE90280" w14:textId="6EA9ADAA" w:rsidR="007C7324" w:rsidRDefault="00050779" w:rsidP="00050779">
      <w:pPr>
        <w:tabs>
          <w:tab w:val="left" w:pos="2145"/>
        </w:tabs>
        <w:spacing w:line="360" w:lineRule="auto"/>
        <w:jc w:val="both"/>
        <w:rPr>
          <w:rFonts w:ascii="Arial" w:hAnsi="Arial" w:cs="Arial"/>
          <w:bCs/>
          <w:sz w:val="24"/>
        </w:rPr>
      </w:pPr>
      <w:r w:rsidRPr="00050779">
        <w:rPr>
          <w:rFonts w:ascii="Arial" w:hAnsi="Arial" w:cs="Arial"/>
          <w:bCs/>
          <w:noProof/>
          <w:sz w:val="20"/>
          <w:szCs w:val="18"/>
        </w:rPr>
        <w:drawing>
          <wp:anchor distT="0" distB="0" distL="114300" distR="114300" simplePos="0" relativeHeight="251778048" behindDoc="1" locked="0" layoutInCell="1" allowOverlap="1" wp14:anchorId="5A6032B7" wp14:editId="19ABC19E">
            <wp:simplePos x="0" y="0"/>
            <wp:positionH relativeFrom="margin">
              <wp:posOffset>1305204</wp:posOffset>
            </wp:positionH>
            <wp:positionV relativeFrom="paragraph">
              <wp:posOffset>2413178</wp:posOffset>
            </wp:positionV>
            <wp:extent cx="3026072" cy="2555638"/>
            <wp:effectExtent l="0" t="0" r="317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26072" cy="2555638"/>
                    </a:xfrm>
                    <a:prstGeom prst="rect">
                      <a:avLst/>
                    </a:prstGeom>
                    <a:noFill/>
                  </pic:spPr>
                </pic:pic>
              </a:graphicData>
            </a:graphic>
            <wp14:sizeRelH relativeFrom="page">
              <wp14:pctWidth>0</wp14:pctWidth>
            </wp14:sizeRelH>
            <wp14:sizeRelV relativeFrom="page">
              <wp14:pctHeight>0</wp14:pctHeight>
            </wp14:sizeRelV>
          </wp:anchor>
        </w:drawing>
      </w:r>
      <w:r w:rsidR="00715F7F" w:rsidRPr="00715F7F">
        <w:rPr>
          <w:rFonts w:ascii="Arial" w:hAnsi="Arial" w:cs="Arial"/>
          <w:bCs/>
          <w:sz w:val="24"/>
        </w:rPr>
        <w:t>La selectividad de</w:t>
      </w:r>
      <w:r w:rsidR="0042785E">
        <w:rPr>
          <w:rFonts w:ascii="Arial" w:hAnsi="Arial" w:cs="Arial"/>
          <w:bCs/>
          <w:sz w:val="24"/>
        </w:rPr>
        <w:t>l electrodo</w:t>
      </w:r>
      <w:r w:rsidR="00715F7F" w:rsidRPr="00715F7F">
        <w:rPr>
          <w:rFonts w:ascii="Arial" w:hAnsi="Arial" w:cs="Arial"/>
          <w:bCs/>
          <w:sz w:val="24"/>
        </w:rPr>
        <w:t xml:space="preserve"> modificado se investigó incorpora</w:t>
      </w:r>
      <w:r w:rsidR="00715F7F">
        <w:rPr>
          <w:rFonts w:ascii="Arial" w:hAnsi="Arial" w:cs="Arial"/>
          <w:bCs/>
          <w:sz w:val="24"/>
        </w:rPr>
        <w:t>ndo</w:t>
      </w:r>
      <w:r w:rsidR="00715F7F" w:rsidRPr="00715F7F">
        <w:rPr>
          <w:rFonts w:ascii="Arial" w:hAnsi="Arial" w:cs="Arial"/>
          <w:bCs/>
          <w:sz w:val="24"/>
        </w:rPr>
        <w:t xml:space="preserve"> otros iones</w:t>
      </w:r>
      <w:r w:rsidR="0042785E">
        <w:rPr>
          <w:rFonts w:ascii="Arial" w:hAnsi="Arial" w:cs="Arial"/>
          <w:bCs/>
          <w:sz w:val="24"/>
        </w:rPr>
        <w:t xml:space="preserve"> en la disolución</w:t>
      </w:r>
      <w:r w:rsidR="00715F7F">
        <w:rPr>
          <w:rFonts w:ascii="Arial" w:hAnsi="Arial" w:cs="Arial"/>
          <w:bCs/>
          <w:sz w:val="24"/>
        </w:rPr>
        <w:t>:</w:t>
      </w:r>
      <w:r w:rsidR="00715F7F" w:rsidRPr="00715F7F">
        <w:rPr>
          <w:rFonts w:ascii="Arial" w:hAnsi="Arial" w:cs="Arial"/>
          <w:bCs/>
          <w:sz w:val="24"/>
        </w:rPr>
        <w:t xml:space="preserve"> </w:t>
      </w:r>
      <w:proofErr w:type="gramStart"/>
      <w:r w:rsidR="00715F7F" w:rsidRPr="00715F7F">
        <w:rPr>
          <w:rFonts w:ascii="Arial" w:hAnsi="Arial" w:cs="Arial"/>
          <w:bCs/>
          <w:sz w:val="24"/>
        </w:rPr>
        <w:t>Pb(</w:t>
      </w:r>
      <w:proofErr w:type="gramEnd"/>
      <w:r w:rsidR="00715F7F" w:rsidRPr="00715F7F">
        <w:rPr>
          <w:rFonts w:ascii="Arial" w:hAnsi="Arial" w:cs="Arial"/>
          <w:bCs/>
          <w:sz w:val="24"/>
        </w:rPr>
        <w:t>II) y Co(II) a una concentración de 30 μg L</w:t>
      </w:r>
      <w:r w:rsidR="00715F7F" w:rsidRPr="00715F7F">
        <w:rPr>
          <w:rFonts w:ascii="Arial" w:hAnsi="Arial" w:cs="Arial"/>
          <w:bCs/>
          <w:sz w:val="24"/>
          <w:vertAlign w:val="superscript"/>
        </w:rPr>
        <w:t>-</w:t>
      </w:r>
      <w:r w:rsidR="00715F7F" w:rsidRPr="0042785E">
        <w:rPr>
          <w:rFonts w:ascii="Arial" w:hAnsi="Arial" w:cs="Arial"/>
          <w:bCs/>
          <w:sz w:val="24"/>
          <w:vertAlign w:val="superscript"/>
        </w:rPr>
        <w:t>1</w:t>
      </w:r>
      <w:r w:rsidR="00715F7F" w:rsidRPr="00715F7F">
        <w:rPr>
          <w:rFonts w:ascii="Arial" w:hAnsi="Arial" w:cs="Arial"/>
          <w:bCs/>
          <w:sz w:val="24"/>
        </w:rPr>
        <w:t>, y Hg(II) 100 μg L</w:t>
      </w:r>
      <w:r w:rsidR="00715F7F" w:rsidRPr="00715F7F">
        <w:rPr>
          <w:rFonts w:ascii="Arial" w:hAnsi="Arial" w:cs="Arial"/>
          <w:bCs/>
          <w:sz w:val="24"/>
          <w:vertAlign w:val="superscript"/>
        </w:rPr>
        <w:t>-1</w:t>
      </w:r>
      <w:r w:rsidR="00715F7F" w:rsidRPr="00715F7F">
        <w:rPr>
          <w:rFonts w:ascii="Arial" w:hAnsi="Arial" w:cs="Arial"/>
          <w:bCs/>
          <w:sz w:val="24"/>
        </w:rPr>
        <w:t xml:space="preserve">. La </w:t>
      </w:r>
      <w:r w:rsidR="00463BBF">
        <w:rPr>
          <w:rFonts w:ascii="Arial" w:hAnsi="Arial" w:cs="Arial"/>
          <w:bCs/>
          <w:sz w:val="24"/>
        </w:rPr>
        <w:t>F</w:t>
      </w:r>
      <w:r w:rsidR="00715F7F" w:rsidRPr="00715F7F">
        <w:rPr>
          <w:rFonts w:ascii="Arial" w:hAnsi="Arial" w:cs="Arial"/>
          <w:bCs/>
          <w:sz w:val="24"/>
        </w:rPr>
        <w:t xml:space="preserve">igura </w:t>
      </w:r>
      <w:r w:rsidR="00715F7F">
        <w:rPr>
          <w:rFonts w:ascii="Arial" w:hAnsi="Arial" w:cs="Arial"/>
          <w:bCs/>
          <w:sz w:val="24"/>
        </w:rPr>
        <w:t>6</w:t>
      </w:r>
      <w:r w:rsidR="00715F7F" w:rsidRPr="00715F7F">
        <w:rPr>
          <w:rFonts w:ascii="Arial" w:hAnsi="Arial" w:cs="Arial"/>
          <w:bCs/>
          <w:sz w:val="24"/>
        </w:rPr>
        <w:t xml:space="preserve"> </w:t>
      </w:r>
      <w:r w:rsidR="00312506">
        <w:rPr>
          <w:rFonts w:ascii="Arial" w:hAnsi="Arial" w:cs="Arial"/>
          <w:bCs/>
          <w:sz w:val="24"/>
        </w:rPr>
        <w:t>muestra</w:t>
      </w:r>
      <w:r w:rsidR="00715F7F" w:rsidRPr="00715F7F">
        <w:rPr>
          <w:rFonts w:ascii="Arial" w:hAnsi="Arial" w:cs="Arial"/>
          <w:bCs/>
          <w:sz w:val="24"/>
        </w:rPr>
        <w:t xml:space="preserve"> cuatro señales características correspondientes a</w:t>
      </w:r>
      <w:r w:rsidR="00EE385A">
        <w:rPr>
          <w:rFonts w:ascii="Arial" w:hAnsi="Arial" w:cs="Arial"/>
          <w:bCs/>
          <w:sz w:val="24"/>
        </w:rPr>
        <w:t>l</w:t>
      </w:r>
      <w:r w:rsidR="00715F7F" w:rsidRPr="00715F7F">
        <w:rPr>
          <w:rFonts w:ascii="Arial" w:hAnsi="Arial" w:cs="Arial"/>
          <w:bCs/>
          <w:sz w:val="24"/>
        </w:rPr>
        <w:t xml:space="preserve"> </w:t>
      </w:r>
      <w:r w:rsidR="00EE385A">
        <w:rPr>
          <w:rFonts w:ascii="Arial" w:hAnsi="Arial" w:cs="Arial"/>
          <w:bCs/>
          <w:sz w:val="24"/>
        </w:rPr>
        <w:t>proceso de oxidación an</w:t>
      </w:r>
      <w:r w:rsidR="00715F7F" w:rsidRPr="00715F7F">
        <w:rPr>
          <w:rFonts w:ascii="Arial" w:hAnsi="Arial" w:cs="Arial"/>
          <w:bCs/>
          <w:sz w:val="24"/>
        </w:rPr>
        <w:t>ódic</w:t>
      </w:r>
      <w:r w:rsidR="00EE385A">
        <w:rPr>
          <w:rFonts w:ascii="Arial" w:hAnsi="Arial" w:cs="Arial"/>
          <w:bCs/>
          <w:sz w:val="24"/>
        </w:rPr>
        <w:t>a</w:t>
      </w:r>
      <w:r w:rsidR="00715F7F" w:rsidRPr="00715F7F">
        <w:rPr>
          <w:rFonts w:ascii="Arial" w:hAnsi="Arial" w:cs="Arial"/>
          <w:bCs/>
          <w:sz w:val="24"/>
        </w:rPr>
        <w:t xml:space="preserve"> de </w:t>
      </w:r>
      <w:r w:rsidR="0042785E">
        <w:rPr>
          <w:rFonts w:ascii="Arial" w:hAnsi="Arial" w:cs="Arial"/>
          <w:bCs/>
          <w:sz w:val="24"/>
        </w:rPr>
        <w:t>cada</w:t>
      </w:r>
      <w:r w:rsidR="00715F7F" w:rsidRPr="00715F7F">
        <w:rPr>
          <w:rFonts w:ascii="Arial" w:hAnsi="Arial" w:cs="Arial"/>
          <w:bCs/>
          <w:sz w:val="24"/>
        </w:rPr>
        <w:t xml:space="preserve"> especie iónica. Estos potenciales de oxidación no se superponen con el pico de oxidación específico para la</w:t>
      </w:r>
      <w:r w:rsidR="0042785E">
        <w:rPr>
          <w:rFonts w:ascii="Arial" w:hAnsi="Arial" w:cs="Arial"/>
          <w:bCs/>
          <w:sz w:val="24"/>
        </w:rPr>
        <w:t xml:space="preserve"> cuantificación</w:t>
      </w:r>
      <w:r w:rsidR="00715F7F" w:rsidRPr="00715F7F">
        <w:rPr>
          <w:rFonts w:ascii="Arial" w:hAnsi="Arial" w:cs="Arial"/>
          <w:bCs/>
          <w:sz w:val="24"/>
        </w:rPr>
        <w:t xml:space="preserve"> de cadmio</w:t>
      </w:r>
      <w:r w:rsidR="0042785E">
        <w:rPr>
          <w:rFonts w:ascii="Arial" w:hAnsi="Arial" w:cs="Arial"/>
          <w:bCs/>
          <w:sz w:val="24"/>
        </w:rPr>
        <w:t>,</w:t>
      </w:r>
      <w:r w:rsidR="00715F7F" w:rsidRPr="00715F7F">
        <w:rPr>
          <w:rFonts w:ascii="Arial" w:hAnsi="Arial" w:cs="Arial"/>
          <w:bCs/>
          <w:sz w:val="24"/>
        </w:rPr>
        <w:t xml:space="preserve"> </w:t>
      </w:r>
      <w:r w:rsidR="0042785E">
        <w:rPr>
          <w:rFonts w:ascii="Arial" w:hAnsi="Arial" w:cs="Arial"/>
          <w:bCs/>
          <w:sz w:val="24"/>
        </w:rPr>
        <w:t>p</w:t>
      </w:r>
      <w:r w:rsidR="00715F7F" w:rsidRPr="00715F7F">
        <w:rPr>
          <w:rFonts w:ascii="Arial" w:hAnsi="Arial" w:cs="Arial"/>
          <w:bCs/>
          <w:sz w:val="24"/>
        </w:rPr>
        <w:t>or lo tanto,</w:t>
      </w:r>
      <w:r>
        <w:rPr>
          <w:rFonts w:ascii="Arial" w:hAnsi="Arial" w:cs="Arial"/>
          <w:bCs/>
          <w:sz w:val="24"/>
        </w:rPr>
        <w:t xml:space="preserve"> demostrando una buena</w:t>
      </w:r>
      <w:r w:rsidR="00715F7F" w:rsidRPr="00715F7F">
        <w:rPr>
          <w:rFonts w:ascii="Arial" w:hAnsi="Arial" w:cs="Arial"/>
          <w:bCs/>
          <w:sz w:val="24"/>
        </w:rPr>
        <w:t xml:space="preserve"> </w:t>
      </w:r>
      <w:r>
        <w:rPr>
          <w:rFonts w:ascii="Arial" w:hAnsi="Arial" w:cs="Arial"/>
          <w:bCs/>
          <w:sz w:val="24"/>
        </w:rPr>
        <w:t>selectividad</w:t>
      </w:r>
      <w:r w:rsidR="00715F7F" w:rsidRPr="00715F7F">
        <w:rPr>
          <w:rFonts w:ascii="Arial" w:hAnsi="Arial" w:cs="Arial"/>
          <w:bCs/>
          <w:sz w:val="24"/>
        </w:rPr>
        <w:t xml:space="preserve">, solo se observó </w:t>
      </w:r>
      <w:r w:rsidR="0042785E">
        <w:rPr>
          <w:rFonts w:ascii="Arial" w:hAnsi="Arial" w:cs="Arial"/>
          <w:bCs/>
          <w:sz w:val="24"/>
        </w:rPr>
        <w:t xml:space="preserve">que el potencial de oxidación de </w:t>
      </w:r>
      <w:proofErr w:type="gramStart"/>
      <w:r w:rsidR="0042785E">
        <w:rPr>
          <w:rFonts w:ascii="Arial" w:hAnsi="Arial" w:cs="Arial"/>
          <w:bCs/>
          <w:sz w:val="24"/>
        </w:rPr>
        <w:t>Cd(</w:t>
      </w:r>
      <w:proofErr w:type="gramEnd"/>
      <w:r w:rsidR="0042785E">
        <w:rPr>
          <w:rFonts w:ascii="Arial" w:hAnsi="Arial" w:cs="Arial"/>
          <w:bCs/>
          <w:sz w:val="24"/>
        </w:rPr>
        <w:t>II) se recorrió</w:t>
      </w:r>
      <w:r w:rsidR="00715F7F" w:rsidRPr="00715F7F">
        <w:rPr>
          <w:rFonts w:ascii="Arial" w:hAnsi="Arial" w:cs="Arial"/>
          <w:bCs/>
          <w:sz w:val="24"/>
        </w:rPr>
        <w:t xml:space="preserve"> hacia -0.7 V </w:t>
      </w:r>
      <w:r w:rsidR="00715F7F" w:rsidRPr="00312506">
        <w:rPr>
          <w:rFonts w:ascii="Arial" w:hAnsi="Arial" w:cs="Arial"/>
          <w:bCs/>
          <w:i/>
          <w:iCs/>
          <w:sz w:val="24"/>
        </w:rPr>
        <w:t>vs.</w:t>
      </w:r>
      <w:r w:rsidR="00715F7F" w:rsidRPr="00715F7F">
        <w:rPr>
          <w:rFonts w:ascii="Arial" w:hAnsi="Arial" w:cs="Arial"/>
          <w:bCs/>
          <w:sz w:val="24"/>
        </w:rPr>
        <w:t xml:space="preserve"> SCE. Es importante denotar la separación evidente y clara de un pico a otro</w:t>
      </w:r>
      <w:r w:rsidR="00312506">
        <w:rPr>
          <w:rFonts w:ascii="Arial" w:hAnsi="Arial" w:cs="Arial"/>
          <w:bCs/>
          <w:sz w:val="24"/>
        </w:rPr>
        <w:t xml:space="preserve">, especialmente en el caso de </w:t>
      </w:r>
      <w:proofErr w:type="gramStart"/>
      <w:r w:rsidR="00312506">
        <w:rPr>
          <w:rFonts w:ascii="Arial" w:hAnsi="Arial" w:cs="Arial"/>
          <w:bCs/>
          <w:sz w:val="24"/>
        </w:rPr>
        <w:t>Cd(</w:t>
      </w:r>
      <w:proofErr w:type="gramEnd"/>
      <w:r w:rsidR="00312506">
        <w:rPr>
          <w:rFonts w:ascii="Arial" w:hAnsi="Arial" w:cs="Arial"/>
          <w:bCs/>
          <w:sz w:val="24"/>
        </w:rPr>
        <w:t xml:space="preserve">II) y Pb(II), cuyos potenciales de oxidación son muy cercanos. </w:t>
      </w:r>
    </w:p>
    <w:p w14:paraId="67BB67E6" w14:textId="08DE4EDE" w:rsidR="007C7324" w:rsidRDefault="007C7324" w:rsidP="007C75E9">
      <w:pPr>
        <w:tabs>
          <w:tab w:val="left" w:pos="2145"/>
        </w:tabs>
        <w:spacing w:line="360" w:lineRule="auto"/>
        <w:jc w:val="both"/>
        <w:rPr>
          <w:rFonts w:ascii="Arial" w:hAnsi="Arial" w:cs="Arial"/>
          <w:bCs/>
          <w:sz w:val="24"/>
        </w:rPr>
      </w:pPr>
    </w:p>
    <w:p w14:paraId="5C263CD8" w14:textId="1A062D76" w:rsidR="007C7324" w:rsidRDefault="007C7324" w:rsidP="007C75E9">
      <w:pPr>
        <w:tabs>
          <w:tab w:val="left" w:pos="2145"/>
        </w:tabs>
        <w:spacing w:line="360" w:lineRule="auto"/>
        <w:jc w:val="both"/>
        <w:rPr>
          <w:rFonts w:ascii="Arial" w:hAnsi="Arial" w:cs="Arial"/>
          <w:bCs/>
          <w:sz w:val="24"/>
        </w:rPr>
      </w:pPr>
    </w:p>
    <w:p w14:paraId="60807295" w14:textId="7CFD6CEB" w:rsidR="00864295" w:rsidRDefault="00312506" w:rsidP="007C75E9">
      <w:pPr>
        <w:tabs>
          <w:tab w:val="left" w:pos="2145"/>
        </w:tabs>
        <w:spacing w:line="360" w:lineRule="auto"/>
        <w:jc w:val="both"/>
        <w:rPr>
          <w:rFonts w:ascii="Arial" w:hAnsi="Arial" w:cs="Arial"/>
          <w:bCs/>
          <w:sz w:val="24"/>
        </w:rPr>
      </w:pPr>
      <w:r>
        <w:rPr>
          <w:rFonts w:ascii="Arial" w:hAnsi="Arial" w:cs="Arial"/>
          <w:bCs/>
          <w:sz w:val="24"/>
        </w:rPr>
        <w:br/>
      </w:r>
    </w:p>
    <w:p w14:paraId="09ACEF86" w14:textId="4A6D9A7B" w:rsidR="006E17D6" w:rsidRDefault="006E17D6" w:rsidP="007C75E9">
      <w:pPr>
        <w:tabs>
          <w:tab w:val="left" w:pos="2145"/>
        </w:tabs>
        <w:spacing w:line="360" w:lineRule="auto"/>
        <w:jc w:val="both"/>
        <w:rPr>
          <w:rFonts w:ascii="Arial" w:hAnsi="Arial" w:cs="Arial"/>
          <w:bCs/>
          <w:sz w:val="24"/>
        </w:rPr>
      </w:pPr>
    </w:p>
    <w:p w14:paraId="69CC405D" w14:textId="5BCE2E43" w:rsidR="006E17D6" w:rsidRDefault="006E17D6" w:rsidP="00050779">
      <w:pPr>
        <w:tabs>
          <w:tab w:val="left" w:pos="2145"/>
        </w:tabs>
        <w:spacing w:line="360" w:lineRule="auto"/>
        <w:jc w:val="both"/>
        <w:rPr>
          <w:rFonts w:ascii="Arial" w:hAnsi="Arial" w:cs="Arial"/>
          <w:bCs/>
          <w:sz w:val="24"/>
        </w:rPr>
      </w:pPr>
    </w:p>
    <w:p w14:paraId="0FD1B18F" w14:textId="77777777" w:rsidR="006E17D6" w:rsidRDefault="006E17D6" w:rsidP="007C75E9">
      <w:pPr>
        <w:tabs>
          <w:tab w:val="left" w:pos="2145"/>
        </w:tabs>
        <w:spacing w:line="360" w:lineRule="auto"/>
        <w:jc w:val="both"/>
        <w:rPr>
          <w:rFonts w:ascii="Arial" w:hAnsi="Arial" w:cs="Arial"/>
          <w:bCs/>
          <w:sz w:val="24"/>
        </w:rPr>
      </w:pPr>
    </w:p>
    <w:p w14:paraId="155A7704" w14:textId="16D058F2" w:rsidR="007C7324" w:rsidRPr="00312506" w:rsidRDefault="00312506" w:rsidP="007C75E9">
      <w:pPr>
        <w:tabs>
          <w:tab w:val="left" w:pos="2145"/>
        </w:tabs>
        <w:spacing w:line="360" w:lineRule="auto"/>
        <w:jc w:val="both"/>
        <w:rPr>
          <w:rFonts w:ascii="Arial" w:hAnsi="Arial" w:cs="Arial"/>
          <w:bCs/>
          <w:sz w:val="20"/>
          <w:szCs w:val="18"/>
        </w:rPr>
      </w:pPr>
      <w:r w:rsidRPr="00864295">
        <w:rPr>
          <w:rFonts w:ascii="Arial" w:hAnsi="Arial" w:cs="Arial"/>
          <w:b/>
          <w:sz w:val="20"/>
          <w:szCs w:val="18"/>
        </w:rPr>
        <w:t xml:space="preserve">Figura </w:t>
      </w:r>
      <w:r w:rsidR="00864295">
        <w:rPr>
          <w:rFonts w:ascii="Arial" w:hAnsi="Arial" w:cs="Arial"/>
          <w:b/>
          <w:sz w:val="20"/>
          <w:szCs w:val="18"/>
        </w:rPr>
        <w:t>6</w:t>
      </w:r>
      <w:r w:rsidRPr="00864295">
        <w:rPr>
          <w:rFonts w:ascii="Arial" w:hAnsi="Arial" w:cs="Arial"/>
          <w:b/>
          <w:sz w:val="20"/>
          <w:szCs w:val="18"/>
        </w:rPr>
        <w:t>.</w:t>
      </w:r>
      <w:r w:rsidRPr="00312506">
        <w:rPr>
          <w:rFonts w:ascii="Arial" w:hAnsi="Arial" w:cs="Arial"/>
          <w:bCs/>
          <w:sz w:val="20"/>
          <w:szCs w:val="18"/>
        </w:rPr>
        <w:t xml:space="preserve"> </w:t>
      </w:r>
      <w:r w:rsidR="00864295">
        <w:rPr>
          <w:rFonts w:ascii="Arial" w:hAnsi="Arial" w:cs="Arial"/>
          <w:bCs/>
          <w:sz w:val="20"/>
          <w:szCs w:val="18"/>
        </w:rPr>
        <w:t>S</w:t>
      </w:r>
      <w:r w:rsidRPr="00312506">
        <w:rPr>
          <w:rFonts w:ascii="Arial" w:hAnsi="Arial" w:cs="Arial"/>
          <w:bCs/>
          <w:sz w:val="20"/>
          <w:szCs w:val="18"/>
        </w:rPr>
        <w:t xml:space="preserve">electividad en presencia de </w:t>
      </w:r>
      <w:proofErr w:type="gramStart"/>
      <w:r w:rsidRPr="00312506">
        <w:rPr>
          <w:rFonts w:ascii="Arial" w:hAnsi="Arial" w:cs="Arial"/>
          <w:bCs/>
          <w:sz w:val="20"/>
          <w:szCs w:val="18"/>
        </w:rPr>
        <w:t>Cd(</w:t>
      </w:r>
      <w:proofErr w:type="gramEnd"/>
      <w:r w:rsidRPr="00312506">
        <w:rPr>
          <w:rFonts w:ascii="Arial" w:hAnsi="Arial" w:cs="Arial"/>
          <w:bCs/>
          <w:sz w:val="20"/>
          <w:szCs w:val="18"/>
        </w:rPr>
        <w:t>II), Pb(II)</w:t>
      </w:r>
      <w:r>
        <w:rPr>
          <w:rFonts w:ascii="Arial" w:hAnsi="Arial" w:cs="Arial"/>
          <w:bCs/>
          <w:sz w:val="20"/>
          <w:szCs w:val="18"/>
        </w:rPr>
        <w:t xml:space="preserve"> y</w:t>
      </w:r>
      <w:r w:rsidRPr="00312506">
        <w:rPr>
          <w:rFonts w:ascii="Arial" w:hAnsi="Arial" w:cs="Arial"/>
          <w:bCs/>
          <w:sz w:val="20"/>
          <w:szCs w:val="18"/>
        </w:rPr>
        <w:t xml:space="preserve"> Co(II) 30 μg L</w:t>
      </w:r>
      <w:r w:rsidRPr="00312506">
        <w:rPr>
          <w:rFonts w:ascii="Arial" w:hAnsi="Arial" w:cs="Arial"/>
          <w:bCs/>
          <w:sz w:val="20"/>
          <w:szCs w:val="18"/>
          <w:vertAlign w:val="superscript"/>
        </w:rPr>
        <w:t>-1</w:t>
      </w:r>
      <w:r w:rsidRPr="00312506">
        <w:rPr>
          <w:rFonts w:ascii="Arial" w:hAnsi="Arial" w:cs="Arial"/>
          <w:bCs/>
          <w:sz w:val="20"/>
          <w:szCs w:val="18"/>
        </w:rPr>
        <w:t xml:space="preserve"> y Hg(II) 100 μg L</w:t>
      </w:r>
      <w:r w:rsidRPr="00312506">
        <w:rPr>
          <w:rFonts w:ascii="Arial" w:hAnsi="Arial" w:cs="Arial"/>
          <w:bCs/>
          <w:sz w:val="20"/>
          <w:szCs w:val="18"/>
          <w:vertAlign w:val="superscript"/>
        </w:rPr>
        <w:t>- 1</w:t>
      </w:r>
      <w:r w:rsidRPr="00312506">
        <w:rPr>
          <w:rFonts w:ascii="Arial" w:hAnsi="Arial" w:cs="Arial"/>
          <w:bCs/>
          <w:sz w:val="20"/>
          <w:szCs w:val="18"/>
        </w:rPr>
        <w:t>.</w:t>
      </w:r>
    </w:p>
    <w:p w14:paraId="17664C50" w14:textId="337B2356" w:rsidR="00AA0CFA" w:rsidRDefault="004A4B53" w:rsidP="007C75E9">
      <w:pPr>
        <w:tabs>
          <w:tab w:val="left" w:pos="2145"/>
        </w:tabs>
        <w:spacing w:line="360" w:lineRule="auto"/>
        <w:jc w:val="both"/>
        <w:rPr>
          <w:rFonts w:ascii="Arial" w:hAnsi="Arial" w:cs="Arial"/>
          <w:b/>
          <w:sz w:val="24"/>
        </w:rPr>
      </w:pPr>
      <w:r>
        <w:rPr>
          <w:rFonts w:ascii="Arial" w:hAnsi="Arial" w:cs="Arial"/>
          <w:b/>
          <w:sz w:val="24"/>
        </w:rPr>
        <w:t>Conclusion</w:t>
      </w:r>
      <w:r w:rsidR="00312506">
        <w:rPr>
          <w:rFonts w:ascii="Arial" w:hAnsi="Arial" w:cs="Arial"/>
          <w:b/>
          <w:sz w:val="24"/>
        </w:rPr>
        <w:t>es</w:t>
      </w:r>
    </w:p>
    <w:p w14:paraId="396D1BDD" w14:textId="12934285" w:rsidR="00AA0CFA" w:rsidRPr="0074634A" w:rsidRDefault="00312506" w:rsidP="0074634A">
      <w:pPr>
        <w:spacing w:line="360" w:lineRule="auto"/>
        <w:jc w:val="both"/>
        <w:rPr>
          <w:rFonts w:ascii="Arial" w:hAnsi="Arial" w:cs="Arial"/>
          <w:sz w:val="24"/>
        </w:rPr>
      </w:pPr>
      <w:r w:rsidRPr="00312506">
        <w:rPr>
          <w:rFonts w:ascii="Arial" w:hAnsi="Arial" w:cs="Arial"/>
          <w:sz w:val="24"/>
        </w:rPr>
        <w:t xml:space="preserve">El electrodo de carbono vítreo nanoestructurado con un andamio de </w:t>
      </w:r>
      <w:r w:rsidR="006E17D6">
        <w:rPr>
          <w:rFonts w:ascii="Arial" w:hAnsi="Arial" w:cs="Arial"/>
          <w:sz w:val="24"/>
        </w:rPr>
        <w:t>MWCNTs</w:t>
      </w:r>
      <w:r w:rsidRPr="00312506">
        <w:rPr>
          <w:rFonts w:ascii="Arial" w:hAnsi="Arial" w:cs="Arial"/>
          <w:sz w:val="24"/>
        </w:rPr>
        <w:t xml:space="preserve"> y quitosano se ensambló con éxito para su aplicació</w:t>
      </w:r>
      <w:r w:rsidR="006E17D6">
        <w:rPr>
          <w:rFonts w:ascii="Arial" w:hAnsi="Arial" w:cs="Arial"/>
          <w:sz w:val="24"/>
        </w:rPr>
        <w:t>n</w:t>
      </w:r>
      <w:r w:rsidRPr="00312506">
        <w:rPr>
          <w:rFonts w:ascii="Arial" w:hAnsi="Arial" w:cs="Arial"/>
          <w:sz w:val="24"/>
        </w:rPr>
        <w:t xml:space="preserve"> con voltamperometría de onda cuadrada (SWV). </w:t>
      </w:r>
      <w:r w:rsidR="00964CA7">
        <w:rPr>
          <w:rFonts w:ascii="Arial" w:hAnsi="Arial" w:cs="Arial"/>
          <w:sz w:val="24"/>
        </w:rPr>
        <w:t>El</w:t>
      </w:r>
      <w:r w:rsidRPr="00312506">
        <w:rPr>
          <w:rFonts w:ascii="Arial" w:hAnsi="Arial" w:cs="Arial"/>
          <w:sz w:val="24"/>
        </w:rPr>
        <w:t xml:space="preserve"> análisis de impedancia permitió verificar la mejora </w:t>
      </w:r>
      <w:r w:rsidR="00896710">
        <w:rPr>
          <w:rFonts w:ascii="Arial" w:hAnsi="Arial" w:cs="Arial"/>
          <w:sz w:val="24"/>
        </w:rPr>
        <w:t>en</w:t>
      </w:r>
      <w:r w:rsidRPr="00312506">
        <w:rPr>
          <w:rFonts w:ascii="Arial" w:hAnsi="Arial" w:cs="Arial"/>
          <w:sz w:val="24"/>
        </w:rPr>
        <w:t xml:space="preserve"> la eficiencia de transferencia de carga para dicho electrodo nanoestructurado. Este efecto se caracterizó adecuadamente mediante voltam</w:t>
      </w:r>
      <w:r w:rsidR="00773711">
        <w:rPr>
          <w:rFonts w:ascii="Arial" w:hAnsi="Arial" w:cs="Arial"/>
          <w:sz w:val="24"/>
        </w:rPr>
        <w:t>perom</w:t>
      </w:r>
      <w:r w:rsidRPr="00312506">
        <w:rPr>
          <w:rFonts w:ascii="Arial" w:hAnsi="Arial" w:cs="Arial"/>
          <w:sz w:val="24"/>
        </w:rPr>
        <w:t xml:space="preserve">etría cíclica y análisis analógico </w:t>
      </w:r>
      <w:r w:rsidR="00050779">
        <w:rPr>
          <w:rFonts w:ascii="Arial" w:hAnsi="Arial" w:cs="Arial"/>
          <w:sz w:val="24"/>
        </w:rPr>
        <w:t>con el</w:t>
      </w:r>
      <w:r w:rsidRPr="00312506">
        <w:rPr>
          <w:rFonts w:ascii="Arial" w:hAnsi="Arial" w:cs="Arial"/>
          <w:sz w:val="24"/>
        </w:rPr>
        <w:t xml:space="preserve"> circuito equivalente</w:t>
      </w:r>
      <w:r w:rsidR="00964CA7">
        <w:rPr>
          <w:rFonts w:ascii="Arial" w:hAnsi="Arial" w:cs="Arial"/>
          <w:sz w:val="24"/>
        </w:rPr>
        <w:t xml:space="preserve"> de Randles</w:t>
      </w:r>
      <w:r w:rsidR="00653D03">
        <w:rPr>
          <w:rFonts w:ascii="Arial" w:hAnsi="Arial" w:cs="Arial"/>
          <w:sz w:val="24"/>
        </w:rPr>
        <w:t>.</w:t>
      </w:r>
      <w:r w:rsidRPr="00312506">
        <w:rPr>
          <w:rFonts w:ascii="Arial" w:hAnsi="Arial" w:cs="Arial"/>
          <w:sz w:val="24"/>
        </w:rPr>
        <w:t xml:space="preserve"> Los experimentos para sistemas reales tanto en agua potable como en agua </w:t>
      </w:r>
      <w:r w:rsidR="006E17D6">
        <w:rPr>
          <w:rFonts w:ascii="Arial" w:hAnsi="Arial" w:cs="Arial"/>
          <w:sz w:val="24"/>
        </w:rPr>
        <w:t>del grifo</w:t>
      </w:r>
      <w:r w:rsidRPr="00312506">
        <w:rPr>
          <w:rFonts w:ascii="Arial" w:hAnsi="Arial" w:cs="Arial"/>
          <w:sz w:val="24"/>
        </w:rPr>
        <w:t xml:space="preserve"> mostraron una </w:t>
      </w:r>
      <w:r w:rsidR="006E17D6">
        <w:rPr>
          <w:rFonts w:ascii="Arial" w:hAnsi="Arial" w:cs="Arial"/>
          <w:sz w:val="24"/>
        </w:rPr>
        <w:t xml:space="preserve">excelente </w:t>
      </w:r>
      <w:r w:rsidRPr="00312506">
        <w:rPr>
          <w:rFonts w:ascii="Arial" w:hAnsi="Arial" w:cs="Arial"/>
          <w:sz w:val="24"/>
        </w:rPr>
        <w:t>precisión y precisión</w:t>
      </w:r>
      <w:r w:rsidR="00050779">
        <w:rPr>
          <w:rFonts w:ascii="Arial" w:hAnsi="Arial" w:cs="Arial"/>
          <w:sz w:val="24"/>
        </w:rPr>
        <w:t>.</w:t>
      </w:r>
      <w:r w:rsidRPr="00312506">
        <w:rPr>
          <w:rFonts w:ascii="Arial" w:hAnsi="Arial" w:cs="Arial"/>
          <w:sz w:val="24"/>
        </w:rPr>
        <w:t xml:space="preserve"> Finalmente, esta investigación demostró la eficacia de este arreglo con una </w:t>
      </w:r>
      <w:r w:rsidR="00964CA7">
        <w:rPr>
          <w:rFonts w:ascii="Arial" w:hAnsi="Arial" w:cs="Arial"/>
          <w:sz w:val="24"/>
        </w:rPr>
        <w:t>capacidad</w:t>
      </w:r>
      <w:r w:rsidRPr="00312506">
        <w:rPr>
          <w:rFonts w:ascii="Arial" w:hAnsi="Arial" w:cs="Arial"/>
          <w:sz w:val="24"/>
        </w:rPr>
        <w:t xml:space="preserve"> muy prometedora</w:t>
      </w:r>
      <w:r w:rsidR="00964CA7">
        <w:rPr>
          <w:rFonts w:ascii="Arial" w:hAnsi="Arial" w:cs="Arial"/>
          <w:sz w:val="24"/>
        </w:rPr>
        <w:t xml:space="preserve"> para cuantificar cadmio</w:t>
      </w:r>
      <w:r w:rsidRPr="00312506">
        <w:rPr>
          <w:rFonts w:ascii="Arial" w:hAnsi="Arial" w:cs="Arial"/>
          <w:sz w:val="24"/>
        </w:rPr>
        <w:t xml:space="preserve"> en presencia de </w:t>
      </w:r>
      <w:r w:rsidR="00964CA7">
        <w:rPr>
          <w:rFonts w:ascii="Arial" w:hAnsi="Arial" w:cs="Arial"/>
          <w:sz w:val="24"/>
        </w:rPr>
        <w:t>otros</w:t>
      </w:r>
      <w:r w:rsidRPr="00312506">
        <w:rPr>
          <w:rFonts w:ascii="Arial" w:hAnsi="Arial" w:cs="Arial"/>
          <w:sz w:val="24"/>
        </w:rPr>
        <w:t xml:space="preserve"> metales pesados ​​tóxicos iónicos </w:t>
      </w:r>
      <w:r w:rsidR="00964CA7">
        <w:rPr>
          <w:rFonts w:ascii="Arial" w:hAnsi="Arial" w:cs="Arial"/>
          <w:sz w:val="24"/>
        </w:rPr>
        <w:t>como</w:t>
      </w:r>
      <w:r w:rsidRPr="00312506">
        <w:rPr>
          <w:rFonts w:ascii="Arial" w:hAnsi="Arial" w:cs="Arial"/>
          <w:sz w:val="24"/>
        </w:rPr>
        <w:t xml:space="preserve"> Pb, Co y Hg.</w:t>
      </w:r>
    </w:p>
    <w:p w14:paraId="6650D893" w14:textId="31A649C9" w:rsidR="00374FB8" w:rsidRDefault="006666AD" w:rsidP="00063B84">
      <w:pPr>
        <w:rPr>
          <w:rFonts w:ascii="Arial" w:hAnsi="Arial" w:cs="Arial"/>
          <w:b/>
          <w:sz w:val="24"/>
        </w:rPr>
      </w:pPr>
      <w:r>
        <w:rPr>
          <w:rFonts w:ascii="Arial" w:hAnsi="Arial" w:cs="Arial"/>
          <w:b/>
          <w:sz w:val="24"/>
        </w:rPr>
        <w:t>Referencias</w:t>
      </w:r>
    </w:p>
    <w:p w14:paraId="273132F3" w14:textId="2F9A744A" w:rsidR="00F64F7C" w:rsidRPr="00F64F7C" w:rsidRDefault="00F64F7C" w:rsidP="00896710">
      <w:pPr>
        <w:widowControl w:val="0"/>
        <w:autoSpaceDE w:val="0"/>
        <w:autoSpaceDN w:val="0"/>
        <w:adjustRightInd w:val="0"/>
        <w:spacing w:line="240" w:lineRule="auto"/>
        <w:ind w:left="480" w:hanging="480"/>
        <w:jc w:val="both"/>
        <w:rPr>
          <w:rFonts w:ascii="Arial" w:hAnsi="Arial" w:cs="Arial"/>
          <w:noProof/>
          <w:sz w:val="16"/>
          <w:szCs w:val="16"/>
        </w:rPr>
      </w:pPr>
      <w:r w:rsidRPr="00F64F7C">
        <w:rPr>
          <w:rFonts w:ascii="Arial" w:hAnsi="Arial" w:cs="Arial"/>
          <w:b/>
          <w:sz w:val="16"/>
          <w:szCs w:val="16"/>
        </w:rPr>
        <w:fldChar w:fldCharType="begin" w:fldLock="1"/>
      </w:r>
      <w:r w:rsidRPr="00F64F7C">
        <w:rPr>
          <w:rFonts w:ascii="Arial" w:hAnsi="Arial" w:cs="Arial"/>
          <w:b/>
          <w:sz w:val="16"/>
          <w:szCs w:val="16"/>
        </w:rPr>
        <w:instrText xml:space="preserve">ADDIN Mendeley Bibliography CSL_BIBLIOGRAPHY </w:instrText>
      </w:r>
      <w:r w:rsidRPr="00F64F7C">
        <w:rPr>
          <w:rFonts w:ascii="Arial" w:hAnsi="Arial" w:cs="Arial"/>
          <w:b/>
          <w:sz w:val="16"/>
          <w:szCs w:val="16"/>
        </w:rPr>
        <w:fldChar w:fldCharType="separate"/>
      </w:r>
      <w:r w:rsidRPr="00F64F7C">
        <w:rPr>
          <w:rFonts w:ascii="Arial" w:hAnsi="Arial" w:cs="Arial"/>
          <w:noProof/>
          <w:sz w:val="16"/>
          <w:szCs w:val="16"/>
        </w:rPr>
        <w:t>Bard, A. J., Faulkner, L. R.</w:t>
      </w:r>
      <w:r>
        <w:rPr>
          <w:rFonts w:ascii="Arial" w:hAnsi="Arial" w:cs="Arial"/>
          <w:noProof/>
          <w:sz w:val="16"/>
          <w:szCs w:val="16"/>
        </w:rPr>
        <w:t xml:space="preserve"> y</w:t>
      </w:r>
      <w:r w:rsidRPr="00F64F7C">
        <w:rPr>
          <w:rFonts w:ascii="Arial" w:hAnsi="Arial" w:cs="Arial"/>
          <w:noProof/>
          <w:sz w:val="16"/>
          <w:szCs w:val="16"/>
        </w:rPr>
        <w:t xml:space="preserve"> Bagotsky, V. S. (2001). Electrochemical Methods Fundamentals of Electrochemistry. In </w:t>
      </w:r>
      <w:r w:rsidRPr="00F64F7C">
        <w:rPr>
          <w:rFonts w:ascii="Arial" w:hAnsi="Arial" w:cs="Arial"/>
          <w:i/>
          <w:iCs/>
          <w:noProof/>
          <w:sz w:val="16"/>
          <w:szCs w:val="16"/>
        </w:rPr>
        <w:t>John Wiley &amp; Sons, Inc.</w:t>
      </w:r>
    </w:p>
    <w:p w14:paraId="257C52C5" w14:textId="5DAAF3F2" w:rsidR="00F64F7C" w:rsidRPr="00F64F7C" w:rsidRDefault="00F64F7C" w:rsidP="00896710">
      <w:pPr>
        <w:widowControl w:val="0"/>
        <w:autoSpaceDE w:val="0"/>
        <w:autoSpaceDN w:val="0"/>
        <w:adjustRightInd w:val="0"/>
        <w:spacing w:line="240" w:lineRule="auto"/>
        <w:ind w:left="480" w:hanging="480"/>
        <w:jc w:val="both"/>
        <w:rPr>
          <w:rFonts w:ascii="Arial" w:hAnsi="Arial" w:cs="Arial"/>
          <w:noProof/>
          <w:sz w:val="16"/>
          <w:szCs w:val="16"/>
        </w:rPr>
      </w:pPr>
      <w:r w:rsidRPr="00F64F7C">
        <w:rPr>
          <w:rFonts w:ascii="Arial" w:hAnsi="Arial" w:cs="Arial"/>
          <w:noProof/>
          <w:sz w:val="16"/>
          <w:szCs w:val="16"/>
        </w:rPr>
        <w:t>Galicia, M., Li, X.</w:t>
      </w:r>
      <w:r w:rsidR="00896710">
        <w:rPr>
          <w:rFonts w:ascii="Arial" w:hAnsi="Arial" w:cs="Arial"/>
          <w:noProof/>
          <w:sz w:val="16"/>
          <w:szCs w:val="16"/>
        </w:rPr>
        <w:t xml:space="preserve"> y</w:t>
      </w:r>
      <w:r w:rsidRPr="00F64F7C">
        <w:rPr>
          <w:rFonts w:ascii="Arial" w:hAnsi="Arial" w:cs="Arial"/>
          <w:noProof/>
          <w:sz w:val="16"/>
          <w:szCs w:val="16"/>
        </w:rPr>
        <w:t xml:space="preserve"> Castaneda, H. (2014). Interfacial characterization of single- And multi-walled CNT-doped chitosan scaffolds under two flow conditions. </w:t>
      </w:r>
      <w:r w:rsidRPr="00F64F7C">
        <w:rPr>
          <w:rFonts w:ascii="Arial" w:hAnsi="Arial" w:cs="Arial"/>
          <w:i/>
          <w:iCs/>
          <w:noProof/>
          <w:sz w:val="16"/>
          <w:szCs w:val="16"/>
        </w:rPr>
        <w:t>Journal of the Electrochemical Society</w:t>
      </w:r>
      <w:r w:rsidRPr="00F64F7C">
        <w:rPr>
          <w:rFonts w:ascii="Arial" w:hAnsi="Arial" w:cs="Arial"/>
          <w:noProof/>
          <w:sz w:val="16"/>
          <w:szCs w:val="16"/>
        </w:rPr>
        <w:t xml:space="preserve">, </w:t>
      </w:r>
      <w:r w:rsidRPr="00F64F7C">
        <w:rPr>
          <w:rFonts w:ascii="Arial" w:hAnsi="Arial" w:cs="Arial"/>
          <w:i/>
          <w:iCs/>
          <w:noProof/>
          <w:sz w:val="16"/>
          <w:szCs w:val="16"/>
        </w:rPr>
        <w:t>161</w:t>
      </w:r>
      <w:r w:rsidRPr="00F64F7C">
        <w:rPr>
          <w:rFonts w:ascii="Arial" w:hAnsi="Arial" w:cs="Arial"/>
          <w:noProof/>
          <w:sz w:val="16"/>
          <w:szCs w:val="16"/>
        </w:rPr>
        <w:t>(12), H751–H761. https://doi.org/10.1149/2.0611412jes</w:t>
      </w:r>
    </w:p>
    <w:p w14:paraId="2D8015C7" w14:textId="41DDBE6C" w:rsidR="00F64F7C" w:rsidRPr="00F64F7C" w:rsidRDefault="00F64F7C" w:rsidP="00896710">
      <w:pPr>
        <w:widowControl w:val="0"/>
        <w:autoSpaceDE w:val="0"/>
        <w:autoSpaceDN w:val="0"/>
        <w:adjustRightInd w:val="0"/>
        <w:spacing w:line="240" w:lineRule="auto"/>
        <w:ind w:left="480" w:hanging="480"/>
        <w:jc w:val="both"/>
        <w:rPr>
          <w:rFonts w:ascii="Arial" w:hAnsi="Arial" w:cs="Arial"/>
          <w:noProof/>
          <w:sz w:val="16"/>
          <w:szCs w:val="16"/>
        </w:rPr>
      </w:pPr>
      <w:r w:rsidRPr="00F64F7C">
        <w:rPr>
          <w:rFonts w:ascii="Arial" w:hAnsi="Arial" w:cs="Arial"/>
          <w:noProof/>
          <w:sz w:val="16"/>
          <w:szCs w:val="16"/>
        </w:rPr>
        <w:t xml:space="preserve">Holler, J. </w:t>
      </w:r>
      <w:r w:rsidR="00896710">
        <w:rPr>
          <w:rFonts w:ascii="Arial" w:hAnsi="Arial" w:cs="Arial"/>
          <w:noProof/>
          <w:sz w:val="16"/>
          <w:szCs w:val="16"/>
        </w:rPr>
        <w:t>y</w:t>
      </w:r>
      <w:r w:rsidRPr="00F64F7C">
        <w:rPr>
          <w:rFonts w:ascii="Arial" w:hAnsi="Arial" w:cs="Arial"/>
          <w:noProof/>
          <w:sz w:val="16"/>
          <w:szCs w:val="16"/>
        </w:rPr>
        <w:t xml:space="preserve"> Crouch, S. R. (</w:t>
      </w:r>
      <w:r w:rsidR="00896710">
        <w:rPr>
          <w:rFonts w:ascii="Arial" w:hAnsi="Arial" w:cs="Arial"/>
          <w:noProof/>
          <w:sz w:val="16"/>
          <w:szCs w:val="16"/>
        </w:rPr>
        <w:t>2015</w:t>
      </w:r>
      <w:r w:rsidRPr="00F64F7C">
        <w:rPr>
          <w:rFonts w:ascii="Arial" w:hAnsi="Arial" w:cs="Arial"/>
          <w:noProof/>
          <w:sz w:val="16"/>
          <w:szCs w:val="16"/>
        </w:rPr>
        <w:t xml:space="preserve">). </w:t>
      </w:r>
      <w:r w:rsidR="00896710">
        <w:rPr>
          <w:rFonts w:ascii="Arial" w:hAnsi="Arial" w:cs="Arial"/>
          <w:noProof/>
          <w:sz w:val="16"/>
          <w:szCs w:val="16"/>
        </w:rPr>
        <w:t>Fundamentos de química analítica. Cengage Learning Editores.</w:t>
      </w:r>
    </w:p>
    <w:p w14:paraId="25D02E57" w14:textId="299AD84E" w:rsidR="00F64F7C" w:rsidRPr="00F64F7C" w:rsidRDefault="00F64F7C" w:rsidP="00896710">
      <w:pPr>
        <w:widowControl w:val="0"/>
        <w:autoSpaceDE w:val="0"/>
        <w:autoSpaceDN w:val="0"/>
        <w:adjustRightInd w:val="0"/>
        <w:spacing w:line="240" w:lineRule="auto"/>
        <w:ind w:left="480" w:hanging="480"/>
        <w:jc w:val="both"/>
        <w:rPr>
          <w:rFonts w:ascii="Arial" w:hAnsi="Arial" w:cs="Arial"/>
          <w:noProof/>
          <w:sz w:val="16"/>
          <w:szCs w:val="16"/>
        </w:rPr>
      </w:pPr>
      <w:r w:rsidRPr="00F64F7C">
        <w:rPr>
          <w:rFonts w:ascii="Arial" w:hAnsi="Arial" w:cs="Arial"/>
          <w:noProof/>
          <w:sz w:val="16"/>
          <w:szCs w:val="16"/>
        </w:rPr>
        <w:t>Khakpour, R.</w:t>
      </w:r>
      <w:r w:rsidR="00896710">
        <w:rPr>
          <w:rFonts w:ascii="Arial" w:hAnsi="Arial" w:cs="Arial"/>
          <w:noProof/>
          <w:sz w:val="16"/>
          <w:szCs w:val="16"/>
        </w:rPr>
        <w:t xml:space="preserve"> y</w:t>
      </w:r>
      <w:r w:rsidRPr="00F64F7C">
        <w:rPr>
          <w:rFonts w:ascii="Arial" w:hAnsi="Arial" w:cs="Arial"/>
          <w:noProof/>
          <w:sz w:val="16"/>
          <w:szCs w:val="16"/>
        </w:rPr>
        <w:t xml:space="preserve"> Tahermansouri, H. (2018). Synthesis, characterization and study of sorption parameters of multi-walled carbon nanotubes/chitosan nanocomposite for the removal of picric acid from aqueous solutions. </w:t>
      </w:r>
      <w:r w:rsidRPr="00F64F7C">
        <w:rPr>
          <w:rFonts w:ascii="Arial" w:hAnsi="Arial" w:cs="Arial"/>
          <w:i/>
          <w:iCs/>
          <w:noProof/>
          <w:sz w:val="16"/>
          <w:szCs w:val="16"/>
        </w:rPr>
        <w:t>International Journal of Biological Macromolecules</w:t>
      </w:r>
      <w:r w:rsidRPr="00F64F7C">
        <w:rPr>
          <w:rFonts w:ascii="Arial" w:hAnsi="Arial" w:cs="Arial"/>
          <w:noProof/>
          <w:sz w:val="16"/>
          <w:szCs w:val="16"/>
        </w:rPr>
        <w:t xml:space="preserve">, </w:t>
      </w:r>
      <w:r w:rsidRPr="00F64F7C">
        <w:rPr>
          <w:rFonts w:ascii="Arial" w:hAnsi="Arial" w:cs="Arial"/>
          <w:i/>
          <w:iCs/>
          <w:noProof/>
          <w:sz w:val="16"/>
          <w:szCs w:val="16"/>
        </w:rPr>
        <w:t>109</w:t>
      </w:r>
      <w:r w:rsidRPr="00F64F7C">
        <w:rPr>
          <w:rFonts w:ascii="Arial" w:hAnsi="Arial" w:cs="Arial"/>
          <w:noProof/>
          <w:sz w:val="16"/>
          <w:szCs w:val="16"/>
        </w:rPr>
        <w:t>, 598–610. https://doi.org/10.1016/j.ijbiomac.2017.12.105</w:t>
      </w:r>
    </w:p>
    <w:p w14:paraId="3E8E782D" w14:textId="2F0A5418" w:rsidR="00F64F7C" w:rsidRPr="00F64F7C" w:rsidRDefault="00F64F7C" w:rsidP="00896710">
      <w:pPr>
        <w:widowControl w:val="0"/>
        <w:autoSpaceDE w:val="0"/>
        <w:autoSpaceDN w:val="0"/>
        <w:adjustRightInd w:val="0"/>
        <w:spacing w:line="240" w:lineRule="auto"/>
        <w:ind w:left="480" w:hanging="480"/>
        <w:jc w:val="both"/>
        <w:rPr>
          <w:rFonts w:ascii="Arial" w:hAnsi="Arial" w:cs="Arial"/>
          <w:noProof/>
          <w:sz w:val="16"/>
          <w:szCs w:val="16"/>
        </w:rPr>
      </w:pPr>
      <w:r w:rsidRPr="00F64F7C">
        <w:rPr>
          <w:rFonts w:ascii="Arial" w:hAnsi="Arial" w:cs="Arial"/>
          <w:noProof/>
          <w:sz w:val="16"/>
          <w:szCs w:val="16"/>
        </w:rPr>
        <w:t>Koudelkova, Z., Syrovy, T., Ambrozova, P., Moravec, Z., Kubac, L., Hynek, D.</w:t>
      </w:r>
      <w:r w:rsidR="00896710">
        <w:rPr>
          <w:rFonts w:ascii="Arial" w:hAnsi="Arial" w:cs="Arial"/>
          <w:noProof/>
          <w:sz w:val="16"/>
          <w:szCs w:val="16"/>
        </w:rPr>
        <w:t xml:space="preserve"> y</w:t>
      </w:r>
      <w:r w:rsidRPr="00F64F7C">
        <w:rPr>
          <w:rFonts w:ascii="Arial" w:hAnsi="Arial" w:cs="Arial"/>
          <w:noProof/>
          <w:sz w:val="16"/>
          <w:szCs w:val="16"/>
        </w:rPr>
        <w:t xml:space="preserve"> Adam, V. (2017). Determination of zinc, cadmium, lead, copper and silver using a carbon paste electrode and a screen printed electrode modified with chromium(III) oxide. </w:t>
      </w:r>
      <w:r w:rsidRPr="00F64F7C">
        <w:rPr>
          <w:rFonts w:ascii="Arial" w:hAnsi="Arial" w:cs="Arial"/>
          <w:i/>
          <w:iCs/>
          <w:noProof/>
          <w:sz w:val="16"/>
          <w:szCs w:val="16"/>
        </w:rPr>
        <w:t>Sensors (Switzerland)</w:t>
      </w:r>
      <w:r w:rsidRPr="00F64F7C">
        <w:rPr>
          <w:rFonts w:ascii="Arial" w:hAnsi="Arial" w:cs="Arial"/>
          <w:noProof/>
          <w:sz w:val="16"/>
          <w:szCs w:val="16"/>
        </w:rPr>
        <w:t xml:space="preserve">, </w:t>
      </w:r>
      <w:r w:rsidRPr="00F64F7C">
        <w:rPr>
          <w:rFonts w:ascii="Arial" w:hAnsi="Arial" w:cs="Arial"/>
          <w:i/>
          <w:iCs/>
          <w:noProof/>
          <w:sz w:val="16"/>
          <w:szCs w:val="16"/>
        </w:rPr>
        <w:t>17</w:t>
      </w:r>
      <w:r w:rsidRPr="00F64F7C">
        <w:rPr>
          <w:rFonts w:ascii="Arial" w:hAnsi="Arial" w:cs="Arial"/>
          <w:noProof/>
          <w:sz w:val="16"/>
          <w:szCs w:val="16"/>
        </w:rPr>
        <w:t>(8). https://doi.org/10.3390/s17081832</w:t>
      </w:r>
    </w:p>
    <w:p w14:paraId="7AA53581" w14:textId="16753568" w:rsidR="00F64F7C" w:rsidRPr="00F64F7C" w:rsidRDefault="00F64F7C" w:rsidP="00896710">
      <w:pPr>
        <w:widowControl w:val="0"/>
        <w:autoSpaceDE w:val="0"/>
        <w:autoSpaceDN w:val="0"/>
        <w:adjustRightInd w:val="0"/>
        <w:spacing w:line="240" w:lineRule="auto"/>
        <w:ind w:left="480" w:hanging="480"/>
        <w:jc w:val="both"/>
        <w:rPr>
          <w:rFonts w:ascii="Arial" w:hAnsi="Arial" w:cs="Arial"/>
          <w:noProof/>
          <w:sz w:val="16"/>
          <w:szCs w:val="16"/>
        </w:rPr>
      </w:pPr>
      <w:r w:rsidRPr="00F64F7C">
        <w:rPr>
          <w:rFonts w:ascii="Arial" w:hAnsi="Arial" w:cs="Arial"/>
          <w:noProof/>
          <w:sz w:val="16"/>
          <w:szCs w:val="16"/>
        </w:rPr>
        <w:t>Lin, M., Cho, M. S., Choe, W. S., Son, Y.</w:t>
      </w:r>
      <w:r w:rsidR="00896710">
        <w:rPr>
          <w:rFonts w:ascii="Arial" w:hAnsi="Arial" w:cs="Arial"/>
          <w:noProof/>
          <w:sz w:val="16"/>
          <w:szCs w:val="16"/>
        </w:rPr>
        <w:t xml:space="preserve"> y</w:t>
      </w:r>
      <w:r w:rsidRPr="00F64F7C">
        <w:rPr>
          <w:rFonts w:ascii="Arial" w:hAnsi="Arial" w:cs="Arial"/>
          <w:noProof/>
          <w:sz w:val="16"/>
          <w:szCs w:val="16"/>
        </w:rPr>
        <w:t xml:space="preserve"> Lee, Y. (2009). Electrochemical detection of copper ion using a modified copolythiophene electrode. </w:t>
      </w:r>
      <w:r w:rsidRPr="00F64F7C">
        <w:rPr>
          <w:rFonts w:ascii="Arial" w:hAnsi="Arial" w:cs="Arial"/>
          <w:i/>
          <w:iCs/>
          <w:noProof/>
          <w:sz w:val="16"/>
          <w:szCs w:val="16"/>
        </w:rPr>
        <w:t>Electrochimica Acta</w:t>
      </w:r>
      <w:r w:rsidRPr="00F64F7C">
        <w:rPr>
          <w:rFonts w:ascii="Arial" w:hAnsi="Arial" w:cs="Arial"/>
          <w:noProof/>
          <w:sz w:val="16"/>
          <w:szCs w:val="16"/>
        </w:rPr>
        <w:t xml:space="preserve">, </w:t>
      </w:r>
      <w:r w:rsidRPr="00F64F7C">
        <w:rPr>
          <w:rFonts w:ascii="Arial" w:hAnsi="Arial" w:cs="Arial"/>
          <w:i/>
          <w:iCs/>
          <w:noProof/>
          <w:sz w:val="16"/>
          <w:szCs w:val="16"/>
        </w:rPr>
        <w:t>54</w:t>
      </w:r>
      <w:r w:rsidRPr="00F64F7C">
        <w:rPr>
          <w:rFonts w:ascii="Arial" w:hAnsi="Arial" w:cs="Arial"/>
          <w:noProof/>
          <w:sz w:val="16"/>
          <w:szCs w:val="16"/>
        </w:rPr>
        <w:t>(27), 7012–7017. https://doi.org/10.1016/j.electacta.2009.07.025</w:t>
      </w:r>
    </w:p>
    <w:p w14:paraId="2F0289EE" w14:textId="359A7789" w:rsidR="00F64F7C" w:rsidRPr="00F64F7C" w:rsidRDefault="00F64F7C" w:rsidP="00896710">
      <w:pPr>
        <w:widowControl w:val="0"/>
        <w:autoSpaceDE w:val="0"/>
        <w:autoSpaceDN w:val="0"/>
        <w:adjustRightInd w:val="0"/>
        <w:spacing w:line="240" w:lineRule="auto"/>
        <w:ind w:left="480" w:hanging="480"/>
        <w:jc w:val="both"/>
        <w:rPr>
          <w:rFonts w:ascii="Arial" w:hAnsi="Arial" w:cs="Arial"/>
          <w:noProof/>
          <w:sz w:val="16"/>
          <w:szCs w:val="16"/>
        </w:rPr>
      </w:pPr>
      <w:r w:rsidRPr="00F64F7C">
        <w:rPr>
          <w:rFonts w:ascii="Arial" w:hAnsi="Arial" w:cs="Arial"/>
          <w:noProof/>
          <w:sz w:val="16"/>
          <w:szCs w:val="16"/>
        </w:rPr>
        <w:t>Oliveira, T. M. B. F.</w:t>
      </w:r>
      <w:r w:rsidR="00896710">
        <w:rPr>
          <w:rFonts w:ascii="Arial" w:hAnsi="Arial" w:cs="Arial"/>
          <w:noProof/>
          <w:sz w:val="16"/>
          <w:szCs w:val="16"/>
        </w:rPr>
        <w:t xml:space="preserve"> y</w:t>
      </w:r>
      <w:r w:rsidRPr="00F64F7C">
        <w:rPr>
          <w:rFonts w:ascii="Arial" w:hAnsi="Arial" w:cs="Arial"/>
          <w:noProof/>
          <w:sz w:val="16"/>
          <w:szCs w:val="16"/>
        </w:rPr>
        <w:t xml:space="preserve"> Morais, S. (2018). New generation of electrochemical sensors based on multi-walled carbon nanotubes. </w:t>
      </w:r>
      <w:r w:rsidRPr="00F64F7C">
        <w:rPr>
          <w:rFonts w:ascii="Arial" w:hAnsi="Arial" w:cs="Arial"/>
          <w:i/>
          <w:iCs/>
          <w:noProof/>
          <w:sz w:val="16"/>
          <w:szCs w:val="16"/>
        </w:rPr>
        <w:t>Applied Sciences (Switzerland)</w:t>
      </w:r>
      <w:r w:rsidRPr="00F64F7C">
        <w:rPr>
          <w:rFonts w:ascii="Arial" w:hAnsi="Arial" w:cs="Arial"/>
          <w:noProof/>
          <w:sz w:val="16"/>
          <w:szCs w:val="16"/>
        </w:rPr>
        <w:t xml:space="preserve">, </w:t>
      </w:r>
      <w:r w:rsidRPr="00F64F7C">
        <w:rPr>
          <w:rFonts w:ascii="Arial" w:hAnsi="Arial" w:cs="Arial"/>
          <w:i/>
          <w:iCs/>
          <w:noProof/>
          <w:sz w:val="16"/>
          <w:szCs w:val="16"/>
        </w:rPr>
        <w:t>8</w:t>
      </w:r>
      <w:r w:rsidRPr="00F64F7C">
        <w:rPr>
          <w:rFonts w:ascii="Arial" w:hAnsi="Arial" w:cs="Arial"/>
          <w:noProof/>
          <w:sz w:val="16"/>
          <w:szCs w:val="16"/>
        </w:rPr>
        <w:t>(10), 5–7. https://doi.org/10.3390/app8101925</w:t>
      </w:r>
    </w:p>
    <w:p w14:paraId="0F7230E0" w14:textId="1175E301" w:rsidR="00F64F7C" w:rsidRPr="00F64F7C" w:rsidRDefault="00F64F7C" w:rsidP="00896710">
      <w:pPr>
        <w:widowControl w:val="0"/>
        <w:autoSpaceDE w:val="0"/>
        <w:autoSpaceDN w:val="0"/>
        <w:adjustRightInd w:val="0"/>
        <w:spacing w:line="240" w:lineRule="auto"/>
        <w:ind w:left="480" w:hanging="480"/>
        <w:jc w:val="both"/>
        <w:rPr>
          <w:rFonts w:ascii="Arial" w:hAnsi="Arial" w:cs="Arial"/>
          <w:noProof/>
          <w:sz w:val="16"/>
          <w:szCs w:val="16"/>
        </w:rPr>
      </w:pPr>
      <w:r w:rsidRPr="00F64F7C">
        <w:rPr>
          <w:rFonts w:ascii="Arial" w:hAnsi="Arial" w:cs="Arial"/>
          <w:noProof/>
          <w:sz w:val="16"/>
          <w:szCs w:val="16"/>
        </w:rPr>
        <w:t>Salih, F. E., Ouarzane, A.</w:t>
      </w:r>
      <w:r w:rsidR="00896710">
        <w:rPr>
          <w:rFonts w:ascii="Arial" w:hAnsi="Arial" w:cs="Arial"/>
          <w:noProof/>
          <w:sz w:val="16"/>
          <w:szCs w:val="16"/>
        </w:rPr>
        <w:t xml:space="preserve"> y</w:t>
      </w:r>
      <w:r w:rsidRPr="00F64F7C">
        <w:rPr>
          <w:rFonts w:ascii="Arial" w:hAnsi="Arial" w:cs="Arial"/>
          <w:noProof/>
          <w:sz w:val="16"/>
          <w:szCs w:val="16"/>
        </w:rPr>
        <w:t xml:space="preserve"> El Rhazi, M. (2017). Electrochemical detection of lead (II) at bismuth/Poly(1,8-diaminonaphthalene) modified carbon paste electrode. </w:t>
      </w:r>
      <w:r w:rsidRPr="00F64F7C">
        <w:rPr>
          <w:rFonts w:ascii="Arial" w:hAnsi="Arial" w:cs="Arial"/>
          <w:i/>
          <w:iCs/>
          <w:noProof/>
          <w:sz w:val="16"/>
          <w:szCs w:val="16"/>
        </w:rPr>
        <w:t>Arabian Journal of Chemistry</w:t>
      </w:r>
      <w:r w:rsidRPr="00F64F7C">
        <w:rPr>
          <w:rFonts w:ascii="Arial" w:hAnsi="Arial" w:cs="Arial"/>
          <w:noProof/>
          <w:sz w:val="16"/>
          <w:szCs w:val="16"/>
        </w:rPr>
        <w:t xml:space="preserve">, </w:t>
      </w:r>
      <w:r w:rsidRPr="00F64F7C">
        <w:rPr>
          <w:rFonts w:ascii="Arial" w:hAnsi="Arial" w:cs="Arial"/>
          <w:i/>
          <w:iCs/>
          <w:noProof/>
          <w:sz w:val="16"/>
          <w:szCs w:val="16"/>
        </w:rPr>
        <w:t>10</w:t>
      </w:r>
      <w:r w:rsidRPr="00F64F7C">
        <w:rPr>
          <w:rFonts w:ascii="Arial" w:hAnsi="Arial" w:cs="Arial"/>
          <w:noProof/>
          <w:sz w:val="16"/>
          <w:szCs w:val="16"/>
        </w:rPr>
        <w:t>(5), 596–603. https://doi.org/10.1016/j.arabjc.2015.08.021</w:t>
      </w:r>
    </w:p>
    <w:p w14:paraId="2AC9CACE" w14:textId="0E15794E" w:rsidR="00F64F7C" w:rsidRPr="00F64F7C" w:rsidRDefault="00F64F7C" w:rsidP="00896710">
      <w:pPr>
        <w:widowControl w:val="0"/>
        <w:autoSpaceDE w:val="0"/>
        <w:autoSpaceDN w:val="0"/>
        <w:adjustRightInd w:val="0"/>
        <w:spacing w:line="240" w:lineRule="auto"/>
        <w:ind w:left="480" w:hanging="480"/>
        <w:jc w:val="both"/>
        <w:rPr>
          <w:rFonts w:ascii="Arial" w:hAnsi="Arial" w:cs="Arial"/>
          <w:noProof/>
          <w:sz w:val="16"/>
          <w:szCs w:val="16"/>
        </w:rPr>
      </w:pPr>
      <w:r w:rsidRPr="00F64F7C">
        <w:rPr>
          <w:rFonts w:ascii="Arial" w:hAnsi="Arial" w:cs="Arial"/>
          <w:noProof/>
          <w:sz w:val="16"/>
          <w:szCs w:val="16"/>
        </w:rPr>
        <w:t>Tursynbolat, S., Bakytkarim, Y., Huang, J.</w:t>
      </w:r>
      <w:r w:rsidR="00896710">
        <w:rPr>
          <w:rFonts w:ascii="Arial" w:hAnsi="Arial" w:cs="Arial"/>
          <w:noProof/>
          <w:sz w:val="16"/>
          <w:szCs w:val="16"/>
        </w:rPr>
        <w:t xml:space="preserve"> y</w:t>
      </w:r>
      <w:r w:rsidRPr="00F64F7C">
        <w:rPr>
          <w:rFonts w:ascii="Arial" w:hAnsi="Arial" w:cs="Arial"/>
          <w:noProof/>
          <w:sz w:val="16"/>
          <w:szCs w:val="16"/>
        </w:rPr>
        <w:t xml:space="preserve"> Wang, L. (2018). Ultrasensitive electrochemical determination of metronidazole based on polydopamine/carboxylic multi-walled carbon nanotubes nanocomposites modified GCE. </w:t>
      </w:r>
      <w:r w:rsidRPr="00F64F7C">
        <w:rPr>
          <w:rFonts w:ascii="Arial" w:hAnsi="Arial" w:cs="Arial"/>
          <w:i/>
          <w:iCs/>
          <w:noProof/>
          <w:sz w:val="16"/>
          <w:szCs w:val="16"/>
        </w:rPr>
        <w:t>Journal of Pharmaceutical Analysis</w:t>
      </w:r>
      <w:r w:rsidRPr="00F64F7C">
        <w:rPr>
          <w:rFonts w:ascii="Arial" w:hAnsi="Arial" w:cs="Arial"/>
          <w:noProof/>
          <w:sz w:val="16"/>
          <w:szCs w:val="16"/>
        </w:rPr>
        <w:t xml:space="preserve">, </w:t>
      </w:r>
      <w:r w:rsidRPr="00F64F7C">
        <w:rPr>
          <w:rFonts w:ascii="Arial" w:hAnsi="Arial" w:cs="Arial"/>
          <w:i/>
          <w:iCs/>
          <w:noProof/>
          <w:sz w:val="16"/>
          <w:szCs w:val="16"/>
        </w:rPr>
        <w:t>8</w:t>
      </w:r>
      <w:r w:rsidRPr="00F64F7C">
        <w:rPr>
          <w:rFonts w:ascii="Arial" w:hAnsi="Arial" w:cs="Arial"/>
          <w:noProof/>
          <w:sz w:val="16"/>
          <w:szCs w:val="16"/>
        </w:rPr>
        <w:t>(2), 124–130. https://doi.org/10.1016/j.jpha.2017.11.001</w:t>
      </w:r>
    </w:p>
    <w:p w14:paraId="53698307" w14:textId="3FF5B001" w:rsidR="00773711" w:rsidRPr="003C5ED4" w:rsidRDefault="00F64F7C" w:rsidP="00896710">
      <w:pPr>
        <w:jc w:val="both"/>
        <w:rPr>
          <w:rFonts w:ascii="Arial" w:hAnsi="Arial" w:cs="Arial"/>
          <w:b/>
          <w:sz w:val="24"/>
        </w:rPr>
      </w:pPr>
      <w:r w:rsidRPr="00F64F7C">
        <w:rPr>
          <w:rFonts w:ascii="Arial" w:hAnsi="Arial" w:cs="Arial"/>
          <w:b/>
          <w:sz w:val="16"/>
          <w:szCs w:val="16"/>
        </w:rPr>
        <w:fldChar w:fldCharType="end"/>
      </w:r>
      <w:bookmarkStart w:id="2" w:name="_GoBack"/>
      <w:bookmarkEnd w:id="2"/>
    </w:p>
    <w:sectPr w:rsidR="00773711" w:rsidRPr="003C5ED4" w:rsidSect="0076160D">
      <w:type w:val="continuous"/>
      <w:pgSz w:w="12240" w:h="15840"/>
      <w:pgMar w:top="1417" w:right="170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60904" w14:textId="77777777" w:rsidR="00FB2049" w:rsidRDefault="00FB2049" w:rsidP="00333C30">
      <w:pPr>
        <w:spacing w:after="0" w:line="240" w:lineRule="auto"/>
      </w:pPr>
      <w:r>
        <w:separator/>
      </w:r>
    </w:p>
  </w:endnote>
  <w:endnote w:type="continuationSeparator" w:id="0">
    <w:p w14:paraId="0760455A" w14:textId="77777777" w:rsidR="00FB2049" w:rsidRDefault="00FB2049"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9C63D" w14:textId="77777777" w:rsidR="00FB2049" w:rsidRDefault="00FB2049" w:rsidP="00333C30">
      <w:pPr>
        <w:spacing w:after="0" w:line="240" w:lineRule="auto"/>
      </w:pPr>
      <w:r>
        <w:separator/>
      </w:r>
    </w:p>
  </w:footnote>
  <w:footnote w:type="continuationSeparator" w:id="0">
    <w:p w14:paraId="782CACC3" w14:textId="77777777" w:rsidR="00FB2049" w:rsidRDefault="00FB2049" w:rsidP="00333C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AA9"/>
    <w:rsid w:val="000033AA"/>
    <w:rsid w:val="00003A5C"/>
    <w:rsid w:val="00003D54"/>
    <w:rsid w:val="0000746D"/>
    <w:rsid w:val="00007D56"/>
    <w:rsid w:val="0001113C"/>
    <w:rsid w:val="00012A48"/>
    <w:rsid w:val="00012BDD"/>
    <w:rsid w:val="0001398F"/>
    <w:rsid w:val="00021A16"/>
    <w:rsid w:val="00031F47"/>
    <w:rsid w:val="00042A07"/>
    <w:rsid w:val="00043F14"/>
    <w:rsid w:val="000448FF"/>
    <w:rsid w:val="00047174"/>
    <w:rsid w:val="00050779"/>
    <w:rsid w:val="00053C8E"/>
    <w:rsid w:val="00063B84"/>
    <w:rsid w:val="00063BE0"/>
    <w:rsid w:val="00072CD1"/>
    <w:rsid w:val="00080454"/>
    <w:rsid w:val="00081340"/>
    <w:rsid w:val="00081B7B"/>
    <w:rsid w:val="00082EAC"/>
    <w:rsid w:val="000841A1"/>
    <w:rsid w:val="00085C92"/>
    <w:rsid w:val="00087123"/>
    <w:rsid w:val="00087F3C"/>
    <w:rsid w:val="00090ABE"/>
    <w:rsid w:val="000A2F91"/>
    <w:rsid w:val="000A4B1B"/>
    <w:rsid w:val="000A61CA"/>
    <w:rsid w:val="000B2AC6"/>
    <w:rsid w:val="000B3F3A"/>
    <w:rsid w:val="000B468F"/>
    <w:rsid w:val="000B4F80"/>
    <w:rsid w:val="000C096D"/>
    <w:rsid w:val="000C0B96"/>
    <w:rsid w:val="000C1AB1"/>
    <w:rsid w:val="000C2EF2"/>
    <w:rsid w:val="000C5118"/>
    <w:rsid w:val="000C79F4"/>
    <w:rsid w:val="000D2AE3"/>
    <w:rsid w:val="000D472A"/>
    <w:rsid w:val="000D5F1C"/>
    <w:rsid w:val="000D7B1A"/>
    <w:rsid w:val="000E0B33"/>
    <w:rsid w:val="000E1186"/>
    <w:rsid w:val="000E3BA8"/>
    <w:rsid w:val="000F050F"/>
    <w:rsid w:val="000F27C7"/>
    <w:rsid w:val="000F398B"/>
    <w:rsid w:val="000F3BD4"/>
    <w:rsid w:val="000F4DA7"/>
    <w:rsid w:val="00100910"/>
    <w:rsid w:val="00101C45"/>
    <w:rsid w:val="001024D7"/>
    <w:rsid w:val="00103E9B"/>
    <w:rsid w:val="001075E2"/>
    <w:rsid w:val="0011083D"/>
    <w:rsid w:val="0011234C"/>
    <w:rsid w:val="001127F1"/>
    <w:rsid w:val="00115FB2"/>
    <w:rsid w:val="00116B6C"/>
    <w:rsid w:val="001209EC"/>
    <w:rsid w:val="00121051"/>
    <w:rsid w:val="001332E5"/>
    <w:rsid w:val="00137ABA"/>
    <w:rsid w:val="00141D9D"/>
    <w:rsid w:val="001428EE"/>
    <w:rsid w:val="001500C9"/>
    <w:rsid w:val="00152824"/>
    <w:rsid w:val="00154FA1"/>
    <w:rsid w:val="00163337"/>
    <w:rsid w:val="00164457"/>
    <w:rsid w:val="00166910"/>
    <w:rsid w:val="00173681"/>
    <w:rsid w:val="00173D22"/>
    <w:rsid w:val="0017511D"/>
    <w:rsid w:val="00184B8A"/>
    <w:rsid w:val="001864F5"/>
    <w:rsid w:val="00190900"/>
    <w:rsid w:val="00191572"/>
    <w:rsid w:val="00194A49"/>
    <w:rsid w:val="00194C46"/>
    <w:rsid w:val="001A238E"/>
    <w:rsid w:val="001A685F"/>
    <w:rsid w:val="001B0100"/>
    <w:rsid w:val="001B70E3"/>
    <w:rsid w:val="001C11DF"/>
    <w:rsid w:val="001C19CF"/>
    <w:rsid w:val="001C58A9"/>
    <w:rsid w:val="001D6A87"/>
    <w:rsid w:val="001D6CC4"/>
    <w:rsid w:val="001E1E39"/>
    <w:rsid w:val="001E278E"/>
    <w:rsid w:val="001E373D"/>
    <w:rsid w:val="001E527E"/>
    <w:rsid w:val="001E5283"/>
    <w:rsid w:val="001E7FEC"/>
    <w:rsid w:val="001F0FC1"/>
    <w:rsid w:val="001F1F34"/>
    <w:rsid w:val="001F347C"/>
    <w:rsid w:val="001F5F8E"/>
    <w:rsid w:val="001F6F0D"/>
    <w:rsid w:val="002051BF"/>
    <w:rsid w:val="00205916"/>
    <w:rsid w:val="002072DF"/>
    <w:rsid w:val="00207437"/>
    <w:rsid w:val="00215F5D"/>
    <w:rsid w:val="0022253D"/>
    <w:rsid w:val="00223B87"/>
    <w:rsid w:val="00226849"/>
    <w:rsid w:val="00231FC4"/>
    <w:rsid w:val="00235101"/>
    <w:rsid w:val="00235FAB"/>
    <w:rsid w:val="00237526"/>
    <w:rsid w:val="0024175F"/>
    <w:rsid w:val="00242F40"/>
    <w:rsid w:val="00243A30"/>
    <w:rsid w:val="00247106"/>
    <w:rsid w:val="002477AE"/>
    <w:rsid w:val="00254554"/>
    <w:rsid w:val="0026183D"/>
    <w:rsid w:val="00264E71"/>
    <w:rsid w:val="002724A9"/>
    <w:rsid w:val="0027342A"/>
    <w:rsid w:val="00273D15"/>
    <w:rsid w:val="00283456"/>
    <w:rsid w:val="00283A8A"/>
    <w:rsid w:val="00285ABE"/>
    <w:rsid w:val="00287DEB"/>
    <w:rsid w:val="00294E51"/>
    <w:rsid w:val="002951FA"/>
    <w:rsid w:val="002A068A"/>
    <w:rsid w:val="002A3B82"/>
    <w:rsid w:val="002A4D36"/>
    <w:rsid w:val="002A67B8"/>
    <w:rsid w:val="002B038F"/>
    <w:rsid w:val="002B0D72"/>
    <w:rsid w:val="002B1A42"/>
    <w:rsid w:val="002B2485"/>
    <w:rsid w:val="002B49B4"/>
    <w:rsid w:val="002B7235"/>
    <w:rsid w:val="002B7CC1"/>
    <w:rsid w:val="002B7D8D"/>
    <w:rsid w:val="002B7E70"/>
    <w:rsid w:val="002C08A2"/>
    <w:rsid w:val="002C0C55"/>
    <w:rsid w:val="002C1B0C"/>
    <w:rsid w:val="002C3653"/>
    <w:rsid w:val="002C4CC0"/>
    <w:rsid w:val="002C6129"/>
    <w:rsid w:val="002C635D"/>
    <w:rsid w:val="002C73FB"/>
    <w:rsid w:val="002C7A12"/>
    <w:rsid w:val="002D0006"/>
    <w:rsid w:val="002D5D32"/>
    <w:rsid w:val="002D6532"/>
    <w:rsid w:val="002E508D"/>
    <w:rsid w:val="002E7CC0"/>
    <w:rsid w:val="002F0041"/>
    <w:rsid w:val="002F15C2"/>
    <w:rsid w:val="002F4707"/>
    <w:rsid w:val="00300067"/>
    <w:rsid w:val="003024A5"/>
    <w:rsid w:val="0030255E"/>
    <w:rsid w:val="00303631"/>
    <w:rsid w:val="00303B21"/>
    <w:rsid w:val="00311504"/>
    <w:rsid w:val="00312442"/>
    <w:rsid w:val="00312506"/>
    <w:rsid w:val="003151E0"/>
    <w:rsid w:val="003167A6"/>
    <w:rsid w:val="003177C0"/>
    <w:rsid w:val="0032101C"/>
    <w:rsid w:val="00321E1E"/>
    <w:rsid w:val="003229E9"/>
    <w:rsid w:val="00325174"/>
    <w:rsid w:val="00325926"/>
    <w:rsid w:val="00331BC4"/>
    <w:rsid w:val="00333675"/>
    <w:rsid w:val="00333C30"/>
    <w:rsid w:val="0033660F"/>
    <w:rsid w:val="00345FB1"/>
    <w:rsid w:val="00346E6D"/>
    <w:rsid w:val="0034769A"/>
    <w:rsid w:val="00354F2C"/>
    <w:rsid w:val="00355719"/>
    <w:rsid w:val="00357149"/>
    <w:rsid w:val="00357194"/>
    <w:rsid w:val="00357E9D"/>
    <w:rsid w:val="00360320"/>
    <w:rsid w:val="00360D8B"/>
    <w:rsid w:val="003645F8"/>
    <w:rsid w:val="00365289"/>
    <w:rsid w:val="0037031A"/>
    <w:rsid w:val="003749AE"/>
    <w:rsid w:val="00374FB8"/>
    <w:rsid w:val="00375E98"/>
    <w:rsid w:val="00376363"/>
    <w:rsid w:val="00382BE3"/>
    <w:rsid w:val="003848B4"/>
    <w:rsid w:val="0038612D"/>
    <w:rsid w:val="00390413"/>
    <w:rsid w:val="00393C56"/>
    <w:rsid w:val="00396AD5"/>
    <w:rsid w:val="003A418E"/>
    <w:rsid w:val="003B2989"/>
    <w:rsid w:val="003B2A55"/>
    <w:rsid w:val="003C06AE"/>
    <w:rsid w:val="003C3B66"/>
    <w:rsid w:val="003C498D"/>
    <w:rsid w:val="003C515A"/>
    <w:rsid w:val="003C5ED4"/>
    <w:rsid w:val="003C62DD"/>
    <w:rsid w:val="003C70F7"/>
    <w:rsid w:val="003D18DD"/>
    <w:rsid w:val="003D5869"/>
    <w:rsid w:val="003E4BDB"/>
    <w:rsid w:val="003E6DD1"/>
    <w:rsid w:val="003F1452"/>
    <w:rsid w:val="003F5DEC"/>
    <w:rsid w:val="003F7757"/>
    <w:rsid w:val="003F7D5B"/>
    <w:rsid w:val="0041187F"/>
    <w:rsid w:val="00412AA9"/>
    <w:rsid w:val="00422CD4"/>
    <w:rsid w:val="00424AD5"/>
    <w:rsid w:val="004265CC"/>
    <w:rsid w:val="00426A73"/>
    <w:rsid w:val="004277BD"/>
    <w:rsid w:val="0042785E"/>
    <w:rsid w:val="0043046C"/>
    <w:rsid w:val="00430F29"/>
    <w:rsid w:val="00433A81"/>
    <w:rsid w:val="00433D66"/>
    <w:rsid w:val="00434B0D"/>
    <w:rsid w:val="00442172"/>
    <w:rsid w:val="00443886"/>
    <w:rsid w:val="00446B02"/>
    <w:rsid w:val="0044718B"/>
    <w:rsid w:val="00447500"/>
    <w:rsid w:val="00455655"/>
    <w:rsid w:val="004568BC"/>
    <w:rsid w:val="00461A25"/>
    <w:rsid w:val="00463BBF"/>
    <w:rsid w:val="004656E4"/>
    <w:rsid w:val="00473F2C"/>
    <w:rsid w:val="00477A76"/>
    <w:rsid w:val="00480A06"/>
    <w:rsid w:val="0048302E"/>
    <w:rsid w:val="00485576"/>
    <w:rsid w:val="004913B5"/>
    <w:rsid w:val="0049154E"/>
    <w:rsid w:val="004921AF"/>
    <w:rsid w:val="00497470"/>
    <w:rsid w:val="004A2D61"/>
    <w:rsid w:val="004A34E4"/>
    <w:rsid w:val="004A4B53"/>
    <w:rsid w:val="004A6410"/>
    <w:rsid w:val="004B3BE6"/>
    <w:rsid w:val="004D0581"/>
    <w:rsid w:val="004D5980"/>
    <w:rsid w:val="004E02F7"/>
    <w:rsid w:val="004E0E0D"/>
    <w:rsid w:val="004E4A37"/>
    <w:rsid w:val="004E6236"/>
    <w:rsid w:val="004E685F"/>
    <w:rsid w:val="004E6D6B"/>
    <w:rsid w:val="004E740A"/>
    <w:rsid w:val="004F19F4"/>
    <w:rsid w:val="004F2700"/>
    <w:rsid w:val="004F3B23"/>
    <w:rsid w:val="004F5E83"/>
    <w:rsid w:val="00501042"/>
    <w:rsid w:val="00501C54"/>
    <w:rsid w:val="00507084"/>
    <w:rsid w:val="00520509"/>
    <w:rsid w:val="005213A5"/>
    <w:rsid w:val="00527E69"/>
    <w:rsid w:val="005317F2"/>
    <w:rsid w:val="0053273F"/>
    <w:rsid w:val="00536262"/>
    <w:rsid w:val="00537388"/>
    <w:rsid w:val="00542D50"/>
    <w:rsid w:val="00551A9B"/>
    <w:rsid w:val="00551CEC"/>
    <w:rsid w:val="00553444"/>
    <w:rsid w:val="005536D9"/>
    <w:rsid w:val="00564F3C"/>
    <w:rsid w:val="005656C2"/>
    <w:rsid w:val="00571AC4"/>
    <w:rsid w:val="00573618"/>
    <w:rsid w:val="005741A5"/>
    <w:rsid w:val="00575933"/>
    <w:rsid w:val="005862AB"/>
    <w:rsid w:val="0058650D"/>
    <w:rsid w:val="00593868"/>
    <w:rsid w:val="005945E2"/>
    <w:rsid w:val="00595D92"/>
    <w:rsid w:val="005A0A92"/>
    <w:rsid w:val="005A2ECF"/>
    <w:rsid w:val="005A3FD1"/>
    <w:rsid w:val="005A52E1"/>
    <w:rsid w:val="005A62B8"/>
    <w:rsid w:val="005B0A29"/>
    <w:rsid w:val="005B1EE5"/>
    <w:rsid w:val="005B71CB"/>
    <w:rsid w:val="005C140A"/>
    <w:rsid w:val="005C1F0A"/>
    <w:rsid w:val="005C276E"/>
    <w:rsid w:val="005C43ED"/>
    <w:rsid w:val="005C44C1"/>
    <w:rsid w:val="005D3365"/>
    <w:rsid w:val="005D3BF5"/>
    <w:rsid w:val="005E1A2C"/>
    <w:rsid w:val="005E2EE5"/>
    <w:rsid w:val="005E686B"/>
    <w:rsid w:val="005E7C2A"/>
    <w:rsid w:val="005F2BB3"/>
    <w:rsid w:val="005F3044"/>
    <w:rsid w:val="005F4B75"/>
    <w:rsid w:val="005F6317"/>
    <w:rsid w:val="00602688"/>
    <w:rsid w:val="00604A25"/>
    <w:rsid w:val="00614187"/>
    <w:rsid w:val="00625C72"/>
    <w:rsid w:val="00632766"/>
    <w:rsid w:val="00633C17"/>
    <w:rsid w:val="00634142"/>
    <w:rsid w:val="00650DDA"/>
    <w:rsid w:val="00653D03"/>
    <w:rsid w:val="0065592C"/>
    <w:rsid w:val="00663C8B"/>
    <w:rsid w:val="006666AD"/>
    <w:rsid w:val="00671493"/>
    <w:rsid w:val="0067557B"/>
    <w:rsid w:val="00677CEA"/>
    <w:rsid w:val="00677D8F"/>
    <w:rsid w:val="0068037D"/>
    <w:rsid w:val="0068078E"/>
    <w:rsid w:val="00681C1A"/>
    <w:rsid w:val="006826F2"/>
    <w:rsid w:val="00683742"/>
    <w:rsid w:val="00683BE6"/>
    <w:rsid w:val="00686AC6"/>
    <w:rsid w:val="00690341"/>
    <w:rsid w:val="00694829"/>
    <w:rsid w:val="006969E0"/>
    <w:rsid w:val="006A385B"/>
    <w:rsid w:val="006A48F0"/>
    <w:rsid w:val="006A4C71"/>
    <w:rsid w:val="006A5F2E"/>
    <w:rsid w:val="006B665C"/>
    <w:rsid w:val="006B6AD4"/>
    <w:rsid w:val="006B7F03"/>
    <w:rsid w:val="006C1836"/>
    <w:rsid w:val="006C7E0E"/>
    <w:rsid w:val="006D284A"/>
    <w:rsid w:val="006D2B1A"/>
    <w:rsid w:val="006D6A11"/>
    <w:rsid w:val="006E05C8"/>
    <w:rsid w:val="006E17D6"/>
    <w:rsid w:val="006E2A40"/>
    <w:rsid w:val="006E3DA1"/>
    <w:rsid w:val="006E45FC"/>
    <w:rsid w:val="006F00D6"/>
    <w:rsid w:val="006F2DC1"/>
    <w:rsid w:val="006F3F33"/>
    <w:rsid w:val="006F4C4B"/>
    <w:rsid w:val="00701B96"/>
    <w:rsid w:val="007033C3"/>
    <w:rsid w:val="007070FF"/>
    <w:rsid w:val="00710E8E"/>
    <w:rsid w:val="00714F5A"/>
    <w:rsid w:val="007157B3"/>
    <w:rsid w:val="00715F7F"/>
    <w:rsid w:val="007170C9"/>
    <w:rsid w:val="0072076E"/>
    <w:rsid w:val="00721571"/>
    <w:rsid w:val="00722C20"/>
    <w:rsid w:val="0072366E"/>
    <w:rsid w:val="00725BA7"/>
    <w:rsid w:val="00727A4C"/>
    <w:rsid w:val="00731824"/>
    <w:rsid w:val="00732382"/>
    <w:rsid w:val="00737DD3"/>
    <w:rsid w:val="00743B88"/>
    <w:rsid w:val="0074634A"/>
    <w:rsid w:val="0075297C"/>
    <w:rsid w:val="00754D4B"/>
    <w:rsid w:val="00760177"/>
    <w:rsid w:val="00761249"/>
    <w:rsid w:val="0076160D"/>
    <w:rsid w:val="00764117"/>
    <w:rsid w:val="0076467F"/>
    <w:rsid w:val="0077155E"/>
    <w:rsid w:val="00773108"/>
    <w:rsid w:val="00773711"/>
    <w:rsid w:val="00773BC9"/>
    <w:rsid w:val="007808D7"/>
    <w:rsid w:val="00787810"/>
    <w:rsid w:val="007878E3"/>
    <w:rsid w:val="00787DE5"/>
    <w:rsid w:val="00790319"/>
    <w:rsid w:val="00792006"/>
    <w:rsid w:val="00797077"/>
    <w:rsid w:val="007A08E7"/>
    <w:rsid w:val="007A1B29"/>
    <w:rsid w:val="007A2857"/>
    <w:rsid w:val="007A60D9"/>
    <w:rsid w:val="007A726A"/>
    <w:rsid w:val="007C7324"/>
    <w:rsid w:val="007C75E9"/>
    <w:rsid w:val="007D1608"/>
    <w:rsid w:val="007D344E"/>
    <w:rsid w:val="007D6107"/>
    <w:rsid w:val="007D7B38"/>
    <w:rsid w:val="007D7F42"/>
    <w:rsid w:val="007E2463"/>
    <w:rsid w:val="007E3979"/>
    <w:rsid w:val="007E4A0C"/>
    <w:rsid w:val="007E6D96"/>
    <w:rsid w:val="007E7579"/>
    <w:rsid w:val="007F3A97"/>
    <w:rsid w:val="008107AA"/>
    <w:rsid w:val="0081165F"/>
    <w:rsid w:val="008203A5"/>
    <w:rsid w:val="0082184F"/>
    <w:rsid w:val="008245A4"/>
    <w:rsid w:val="00824E03"/>
    <w:rsid w:val="00827199"/>
    <w:rsid w:val="00827D2B"/>
    <w:rsid w:val="00831809"/>
    <w:rsid w:val="00832DEE"/>
    <w:rsid w:val="00833CE4"/>
    <w:rsid w:val="00836D9D"/>
    <w:rsid w:val="00836F28"/>
    <w:rsid w:val="00841603"/>
    <w:rsid w:val="008500D3"/>
    <w:rsid w:val="00854D98"/>
    <w:rsid w:val="00856E30"/>
    <w:rsid w:val="00864295"/>
    <w:rsid w:val="0086471C"/>
    <w:rsid w:val="00867BF3"/>
    <w:rsid w:val="00871B64"/>
    <w:rsid w:val="00874ABF"/>
    <w:rsid w:val="0088069D"/>
    <w:rsid w:val="00882282"/>
    <w:rsid w:val="00885834"/>
    <w:rsid w:val="00885C0D"/>
    <w:rsid w:val="008911AE"/>
    <w:rsid w:val="0089252C"/>
    <w:rsid w:val="0089333D"/>
    <w:rsid w:val="00893C34"/>
    <w:rsid w:val="00896710"/>
    <w:rsid w:val="008973B0"/>
    <w:rsid w:val="008A3700"/>
    <w:rsid w:val="008A4AC4"/>
    <w:rsid w:val="008A543F"/>
    <w:rsid w:val="008A62F7"/>
    <w:rsid w:val="008B158C"/>
    <w:rsid w:val="008B2B5F"/>
    <w:rsid w:val="008B36E8"/>
    <w:rsid w:val="008B3751"/>
    <w:rsid w:val="008B4A43"/>
    <w:rsid w:val="008B51C0"/>
    <w:rsid w:val="008B693D"/>
    <w:rsid w:val="008B7E76"/>
    <w:rsid w:val="008C1A63"/>
    <w:rsid w:val="008C364A"/>
    <w:rsid w:val="008D2B39"/>
    <w:rsid w:val="008D3518"/>
    <w:rsid w:val="008D5B33"/>
    <w:rsid w:val="008D75F0"/>
    <w:rsid w:val="008E1C09"/>
    <w:rsid w:val="008E229C"/>
    <w:rsid w:val="008E32CA"/>
    <w:rsid w:val="008E3525"/>
    <w:rsid w:val="008E39DC"/>
    <w:rsid w:val="008E5747"/>
    <w:rsid w:val="008E6E66"/>
    <w:rsid w:val="008F1AE1"/>
    <w:rsid w:val="008F4E0A"/>
    <w:rsid w:val="008F6FDA"/>
    <w:rsid w:val="008F7852"/>
    <w:rsid w:val="00900576"/>
    <w:rsid w:val="0090109D"/>
    <w:rsid w:val="00906928"/>
    <w:rsid w:val="00906DBA"/>
    <w:rsid w:val="0090707E"/>
    <w:rsid w:val="00910EAF"/>
    <w:rsid w:val="00910FA3"/>
    <w:rsid w:val="00911AB1"/>
    <w:rsid w:val="00913736"/>
    <w:rsid w:val="00913AE5"/>
    <w:rsid w:val="00915203"/>
    <w:rsid w:val="00916C8A"/>
    <w:rsid w:val="0092758B"/>
    <w:rsid w:val="0093726B"/>
    <w:rsid w:val="00937563"/>
    <w:rsid w:val="009444AF"/>
    <w:rsid w:val="00957AB1"/>
    <w:rsid w:val="00957B6E"/>
    <w:rsid w:val="00957C06"/>
    <w:rsid w:val="0096281A"/>
    <w:rsid w:val="00964CA7"/>
    <w:rsid w:val="00967158"/>
    <w:rsid w:val="00967C89"/>
    <w:rsid w:val="00971EF1"/>
    <w:rsid w:val="00982E22"/>
    <w:rsid w:val="00983D4B"/>
    <w:rsid w:val="00983F32"/>
    <w:rsid w:val="0099018E"/>
    <w:rsid w:val="00990A14"/>
    <w:rsid w:val="00993D6B"/>
    <w:rsid w:val="009975DC"/>
    <w:rsid w:val="00997AA9"/>
    <w:rsid w:val="009A24EA"/>
    <w:rsid w:val="009A5581"/>
    <w:rsid w:val="009B21D1"/>
    <w:rsid w:val="009B5B1F"/>
    <w:rsid w:val="009C2417"/>
    <w:rsid w:val="009C5FE5"/>
    <w:rsid w:val="009D44D1"/>
    <w:rsid w:val="009E0F28"/>
    <w:rsid w:val="009E7311"/>
    <w:rsid w:val="009E73DF"/>
    <w:rsid w:val="009F1A3B"/>
    <w:rsid w:val="00A02A8B"/>
    <w:rsid w:val="00A047CA"/>
    <w:rsid w:val="00A04E72"/>
    <w:rsid w:val="00A05815"/>
    <w:rsid w:val="00A066B7"/>
    <w:rsid w:val="00A151E2"/>
    <w:rsid w:val="00A15F1F"/>
    <w:rsid w:val="00A170DD"/>
    <w:rsid w:val="00A23CB8"/>
    <w:rsid w:val="00A24DF0"/>
    <w:rsid w:val="00A25673"/>
    <w:rsid w:val="00A25C93"/>
    <w:rsid w:val="00A25D8F"/>
    <w:rsid w:val="00A27C78"/>
    <w:rsid w:val="00A4347A"/>
    <w:rsid w:val="00A52458"/>
    <w:rsid w:val="00A52CD0"/>
    <w:rsid w:val="00A578BE"/>
    <w:rsid w:val="00A60BD3"/>
    <w:rsid w:val="00A705C0"/>
    <w:rsid w:val="00A751DE"/>
    <w:rsid w:val="00A7560C"/>
    <w:rsid w:val="00A8107E"/>
    <w:rsid w:val="00A851FD"/>
    <w:rsid w:val="00A927A3"/>
    <w:rsid w:val="00A92BF6"/>
    <w:rsid w:val="00A92F1A"/>
    <w:rsid w:val="00A93F80"/>
    <w:rsid w:val="00A965C8"/>
    <w:rsid w:val="00AA08AF"/>
    <w:rsid w:val="00AA0991"/>
    <w:rsid w:val="00AA0CFA"/>
    <w:rsid w:val="00AA1BD7"/>
    <w:rsid w:val="00AA1C14"/>
    <w:rsid w:val="00AA2A19"/>
    <w:rsid w:val="00AA32D0"/>
    <w:rsid w:val="00AA41EF"/>
    <w:rsid w:val="00AA708F"/>
    <w:rsid w:val="00AB0F08"/>
    <w:rsid w:val="00AB52DE"/>
    <w:rsid w:val="00AB7641"/>
    <w:rsid w:val="00AC5A28"/>
    <w:rsid w:val="00AD342D"/>
    <w:rsid w:val="00AD44AC"/>
    <w:rsid w:val="00AD65A1"/>
    <w:rsid w:val="00AD6BA0"/>
    <w:rsid w:val="00AE0655"/>
    <w:rsid w:val="00AE2744"/>
    <w:rsid w:val="00AE3A82"/>
    <w:rsid w:val="00AF0C5F"/>
    <w:rsid w:val="00AF1FB1"/>
    <w:rsid w:val="00AF2031"/>
    <w:rsid w:val="00AF35D0"/>
    <w:rsid w:val="00AF62DF"/>
    <w:rsid w:val="00AF73C9"/>
    <w:rsid w:val="00B00115"/>
    <w:rsid w:val="00B01296"/>
    <w:rsid w:val="00B02E31"/>
    <w:rsid w:val="00B03976"/>
    <w:rsid w:val="00B10AC3"/>
    <w:rsid w:val="00B22875"/>
    <w:rsid w:val="00B23C4C"/>
    <w:rsid w:val="00B30008"/>
    <w:rsid w:val="00B30464"/>
    <w:rsid w:val="00B3463A"/>
    <w:rsid w:val="00B35826"/>
    <w:rsid w:val="00B35F39"/>
    <w:rsid w:val="00B41A3E"/>
    <w:rsid w:val="00B45C65"/>
    <w:rsid w:val="00B50C85"/>
    <w:rsid w:val="00B50D93"/>
    <w:rsid w:val="00B50FCA"/>
    <w:rsid w:val="00B51D36"/>
    <w:rsid w:val="00B52939"/>
    <w:rsid w:val="00B52FC2"/>
    <w:rsid w:val="00B5442F"/>
    <w:rsid w:val="00B54DF8"/>
    <w:rsid w:val="00B61B53"/>
    <w:rsid w:val="00B61EEF"/>
    <w:rsid w:val="00B622E7"/>
    <w:rsid w:val="00B62D03"/>
    <w:rsid w:val="00B6488B"/>
    <w:rsid w:val="00B64FE2"/>
    <w:rsid w:val="00B71D94"/>
    <w:rsid w:val="00B74144"/>
    <w:rsid w:val="00B7467B"/>
    <w:rsid w:val="00B755AD"/>
    <w:rsid w:val="00B823B5"/>
    <w:rsid w:val="00B82637"/>
    <w:rsid w:val="00B82FF6"/>
    <w:rsid w:val="00B85555"/>
    <w:rsid w:val="00B97206"/>
    <w:rsid w:val="00BA2168"/>
    <w:rsid w:val="00BA7934"/>
    <w:rsid w:val="00BB1E35"/>
    <w:rsid w:val="00BB2B80"/>
    <w:rsid w:val="00BB2E1C"/>
    <w:rsid w:val="00BB6A95"/>
    <w:rsid w:val="00BB7E25"/>
    <w:rsid w:val="00BC723C"/>
    <w:rsid w:val="00BC7E09"/>
    <w:rsid w:val="00BD0990"/>
    <w:rsid w:val="00BD2091"/>
    <w:rsid w:val="00BD210D"/>
    <w:rsid w:val="00BD2363"/>
    <w:rsid w:val="00BD69D3"/>
    <w:rsid w:val="00BE1798"/>
    <w:rsid w:val="00BE43E6"/>
    <w:rsid w:val="00BE51CE"/>
    <w:rsid w:val="00BE6034"/>
    <w:rsid w:val="00BF115D"/>
    <w:rsid w:val="00BF3AD0"/>
    <w:rsid w:val="00BF53F3"/>
    <w:rsid w:val="00C04A19"/>
    <w:rsid w:val="00C04BF6"/>
    <w:rsid w:val="00C05BE1"/>
    <w:rsid w:val="00C12621"/>
    <w:rsid w:val="00C12E97"/>
    <w:rsid w:val="00C143D6"/>
    <w:rsid w:val="00C16553"/>
    <w:rsid w:val="00C225A3"/>
    <w:rsid w:val="00C243EE"/>
    <w:rsid w:val="00C26E5C"/>
    <w:rsid w:val="00C2717F"/>
    <w:rsid w:val="00C46F62"/>
    <w:rsid w:val="00C52F5E"/>
    <w:rsid w:val="00C559DF"/>
    <w:rsid w:val="00C55F21"/>
    <w:rsid w:val="00C63A33"/>
    <w:rsid w:val="00C65188"/>
    <w:rsid w:val="00C6718C"/>
    <w:rsid w:val="00C671DB"/>
    <w:rsid w:val="00C70BCD"/>
    <w:rsid w:val="00C71404"/>
    <w:rsid w:val="00C75FF8"/>
    <w:rsid w:val="00C80A1D"/>
    <w:rsid w:val="00C80AD7"/>
    <w:rsid w:val="00C82611"/>
    <w:rsid w:val="00C84309"/>
    <w:rsid w:val="00C86F04"/>
    <w:rsid w:val="00C91A83"/>
    <w:rsid w:val="00C9297E"/>
    <w:rsid w:val="00C951CC"/>
    <w:rsid w:val="00C95AE8"/>
    <w:rsid w:val="00C96129"/>
    <w:rsid w:val="00CA0218"/>
    <w:rsid w:val="00CA1563"/>
    <w:rsid w:val="00CA1D6D"/>
    <w:rsid w:val="00CA2E82"/>
    <w:rsid w:val="00CA3744"/>
    <w:rsid w:val="00CA5C22"/>
    <w:rsid w:val="00CA6794"/>
    <w:rsid w:val="00CB215B"/>
    <w:rsid w:val="00CC330B"/>
    <w:rsid w:val="00CD4F6C"/>
    <w:rsid w:val="00CD5212"/>
    <w:rsid w:val="00CD5D16"/>
    <w:rsid w:val="00CD6312"/>
    <w:rsid w:val="00CD6D6C"/>
    <w:rsid w:val="00CE1661"/>
    <w:rsid w:val="00CE5F2F"/>
    <w:rsid w:val="00CF08D1"/>
    <w:rsid w:val="00CF66AA"/>
    <w:rsid w:val="00CF6ED0"/>
    <w:rsid w:val="00D04A0C"/>
    <w:rsid w:val="00D05000"/>
    <w:rsid w:val="00D054E9"/>
    <w:rsid w:val="00D05A24"/>
    <w:rsid w:val="00D073A7"/>
    <w:rsid w:val="00D07A84"/>
    <w:rsid w:val="00D108E8"/>
    <w:rsid w:val="00D11DF4"/>
    <w:rsid w:val="00D13ECA"/>
    <w:rsid w:val="00D14DA9"/>
    <w:rsid w:val="00D163DD"/>
    <w:rsid w:val="00D2065E"/>
    <w:rsid w:val="00D22F03"/>
    <w:rsid w:val="00D2509D"/>
    <w:rsid w:val="00D25513"/>
    <w:rsid w:val="00D259B9"/>
    <w:rsid w:val="00D30F14"/>
    <w:rsid w:val="00D3443E"/>
    <w:rsid w:val="00D40A26"/>
    <w:rsid w:val="00D4338C"/>
    <w:rsid w:val="00D43762"/>
    <w:rsid w:val="00D47E1D"/>
    <w:rsid w:val="00D5314F"/>
    <w:rsid w:val="00D53A9E"/>
    <w:rsid w:val="00D60B7A"/>
    <w:rsid w:val="00D61666"/>
    <w:rsid w:val="00D621D5"/>
    <w:rsid w:val="00D62A70"/>
    <w:rsid w:val="00D645B3"/>
    <w:rsid w:val="00D67ECB"/>
    <w:rsid w:val="00D71832"/>
    <w:rsid w:val="00D72C50"/>
    <w:rsid w:val="00D7604F"/>
    <w:rsid w:val="00D8149B"/>
    <w:rsid w:val="00D84D13"/>
    <w:rsid w:val="00D857DD"/>
    <w:rsid w:val="00D933DE"/>
    <w:rsid w:val="00D93B9A"/>
    <w:rsid w:val="00D94C98"/>
    <w:rsid w:val="00D9639D"/>
    <w:rsid w:val="00DA07EA"/>
    <w:rsid w:val="00DA7D28"/>
    <w:rsid w:val="00DB6E6C"/>
    <w:rsid w:val="00DD10D5"/>
    <w:rsid w:val="00DD6861"/>
    <w:rsid w:val="00DE16F8"/>
    <w:rsid w:val="00DE4AC6"/>
    <w:rsid w:val="00DE52C6"/>
    <w:rsid w:val="00DE5DF2"/>
    <w:rsid w:val="00DF1C50"/>
    <w:rsid w:val="00DF433C"/>
    <w:rsid w:val="00DF52BB"/>
    <w:rsid w:val="00DF69B6"/>
    <w:rsid w:val="00DF6B36"/>
    <w:rsid w:val="00E030ED"/>
    <w:rsid w:val="00E0340B"/>
    <w:rsid w:val="00E03C0F"/>
    <w:rsid w:val="00E06E92"/>
    <w:rsid w:val="00E0784B"/>
    <w:rsid w:val="00E14896"/>
    <w:rsid w:val="00E169D8"/>
    <w:rsid w:val="00E1768D"/>
    <w:rsid w:val="00E17CCB"/>
    <w:rsid w:val="00E225FF"/>
    <w:rsid w:val="00E22BAA"/>
    <w:rsid w:val="00E26AB5"/>
    <w:rsid w:val="00E27673"/>
    <w:rsid w:val="00E277B9"/>
    <w:rsid w:val="00E340F2"/>
    <w:rsid w:val="00E366DD"/>
    <w:rsid w:val="00E36E32"/>
    <w:rsid w:val="00E376D2"/>
    <w:rsid w:val="00E41E7F"/>
    <w:rsid w:val="00E428A7"/>
    <w:rsid w:val="00E46236"/>
    <w:rsid w:val="00E47C46"/>
    <w:rsid w:val="00E56056"/>
    <w:rsid w:val="00E62D02"/>
    <w:rsid w:val="00E64308"/>
    <w:rsid w:val="00E65380"/>
    <w:rsid w:val="00E70814"/>
    <w:rsid w:val="00E71F7C"/>
    <w:rsid w:val="00E727E1"/>
    <w:rsid w:val="00E759B7"/>
    <w:rsid w:val="00E8034D"/>
    <w:rsid w:val="00E80827"/>
    <w:rsid w:val="00E8580D"/>
    <w:rsid w:val="00E9615D"/>
    <w:rsid w:val="00E9633A"/>
    <w:rsid w:val="00EA021E"/>
    <w:rsid w:val="00EA08A3"/>
    <w:rsid w:val="00EA0CE5"/>
    <w:rsid w:val="00EA6B81"/>
    <w:rsid w:val="00EB4CE1"/>
    <w:rsid w:val="00EB633D"/>
    <w:rsid w:val="00EB6ABF"/>
    <w:rsid w:val="00EB73A2"/>
    <w:rsid w:val="00EC0E22"/>
    <w:rsid w:val="00EC0EAB"/>
    <w:rsid w:val="00EC5B76"/>
    <w:rsid w:val="00EC690F"/>
    <w:rsid w:val="00ED0EA0"/>
    <w:rsid w:val="00EE385A"/>
    <w:rsid w:val="00EE3BE0"/>
    <w:rsid w:val="00EE4A84"/>
    <w:rsid w:val="00EF0A41"/>
    <w:rsid w:val="00EF6FCA"/>
    <w:rsid w:val="00F021F0"/>
    <w:rsid w:val="00F034E9"/>
    <w:rsid w:val="00F03DA0"/>
    <w:rsid w:val="00F04612"/>
    <w:rsid w:val="00F06ABE"/>
    <w:rsid w:val="00F06B98"/>
    <w:rsid w:val="00F112B6"/>
    <w:rsid w:val="00F139FD"/>
    <w:rsid w:val="00F13BE3"/>
    <w:rsid w:val="00F2373B"/>
    <w:rsid w:val="00F243A5"/>
    <w:rsid w:val="00F2763C"/>
    <w:rsid w:val="00F30924"/>
    <w:rsid w:val="00F32547"/>
    <w:rsid w:val="00F3566A"/>
    <w:rsid w:val="00F469F0"/>
    <w:rsid w:val="00F47D57"/>
    <w:rsid w:val="00F53FFC"/>
    <w:rsid w:val="00F56D0A"/>
    <w:rsid w:val="00F64E6D"/>
    <w:rsid w:val="00F64F7C"/>
    <w:rsid w:val="00F75B71"/>
    <w:rsid w:val="00F80242"/>
    <w:rsid w:val="00F8144B"/>
    <w:rsid w:val="00F91EAE"/>
    <w:rsid w:val="00F94285"/>
    <w:rsid w:val="00F9543C"/>
    <w:rsid w:val="00F969B8"/>
    <w:rsid w:val="00FA1979"/>
    <w:rsid w:val="00FA4E2F"/>
    <w:rsid w:val="00FA5FED"/>
    <w:rsid w:val="00FA7166"/>
    <w:rsid w:val="00FA7A70"/>
    <w:rsid w:val="00FB2049"/>
    <w:rsid w:val="00FB43E4"/>
    <w:rsid w:val="00FB756E"/>
    <w:rsid w:val="00FC2836"/>
    <w:rsid w:val="00FC28D1"/>
    <w:rsid w:val="00FC3307"/>
    <w:rsid w:val="00FC5F65"/>
    <w:rsid w:val="00FD152B"/>
    <w:rsid w:val="00FD1A77"/>
    <w:rsid w:val="00FD46D0"/>
    <w:rsid w:val="00FE1935"/>
    <w:rsid w:val="00FE25DB"/>
    <w:rsid w:val="00FE57DF"/>
    <w:rsid w:val="00FE7411"/>
    <w:rsid w:val="00FE7AFC"/>
    <w:rsid w:val="00FF1BE6"/>
    <w:rsid w:val="00FF3B8F"/>
    <w:rsid w:val="00FF67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C90F9"/>
  <w15:docId w15:val="{50E9665D-BAB2-4D2D-AB67-640DDB23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63B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3B84"/>
    <w:rPr>
      <w:rFonts w:ascii="Tahoma" w:hAnsi="Tahoma" w:cs="Tahoma"/>
      <w:sz w:val="16"/>
      <w:szCs w:val="16"/>
    </w:rPr>
  </w:style>
  <w:style w:type="character" w:styleId="Hipervnculo">
    <w:name w:val="Hyperlink"/>
    <w:basedOn w:val="Fuentedeprrafopredeter"/>
    <w:uiPriority w:val="99"/>
    <w:unhideWhenUsed/>
    <w:rsid w:val="001F5F8E"/>
    <w:rPr>
      <w:color w:val="0000FF" w:themeColor="hyperlink"/>
      <w:u w:val="single"/>
    </w:rPr>
  </w:style>
  <w:style w:type="paragraph" w:styleId="Prrafodelista">
    <w:name w:val="List Paragraph"/>
    <w:basedOn w:val="Normal"/>
    <w:uiPriority w:val="34"/>
    <w:qFormat/>
    <w:rsid w:val="003C5ED4"/>
    <w:pPr>
      <w:ind w:left="720"/>
      <w:contextualSpacing/>
    </w:pPr>
  </w:style>
  <w:style w:type="paragraph" w:styleId="Descripcin">
    <w:name w:val="caption"/>
    <w:basedOn w:val="Normal"/>
    <w:next w:val="Normal"/>
    <w:uiPriority w:val="35"/>
    <w:unhideWhenUsed/>
    <w:qFormat/>
    <w:rsid w:val="00573618"/>
    <w:pPr>
      <w:spacing w:line="240" w:lineRule="auto"/>
    </w:pPr>
    <w:rPr>
      <w:rFonts w:ascii="Calibri" w:eastAsia="Calibri" w:hAnsi="Calibri" w:cs="Times New Roman"/>
      <w:b/>
      <w:bCs/>
      <w:color w:val="4F81BD" w:themeColor="accent1"/>
      <w:sz w:val="18"/>
      <w:szCs w:val="18"/>
    </w:rPr>
  </w:style>
  <w:style w:type="character" w:styleId="Textodelmarcadordeposicin">
    <w:name w:val="Placeholder Text"/>
    <w:basedOn w:val="Fuentedeprrafopredeter"/>
    <w:uiPriority w:val="99"/>
    <w:semiHidden/>
    <w:rsid w:val="00602688"/>
    <w:rPr>
      <w:color w:val="808080"/>
    </w:rPr>
  </w:style>
  <w:style w:type="paragraph" w:styleId="Encabezado">
    <w:name w:val="header"/>
    <w:basedOn w:val="Normal"/>
    <w:link w:val="EncabezadoCar"/>
    <w:uiPriority w:val="99"/>
    <w:unhideWhenUsed/>
    <w:rsid w:val="00333C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33C30"/>
  </w:style>
  <w:style w:type="paragraph" w:styleId="Piedepgina">
    <w:name w:val="footer"/>
    <w:basedOn w:val="Normal"/>
    <w:link w:val="PiedepginaCar"/>
    <w:uiPriority w:val="99"/>
    <w:unhideWhenUsed/>
    <w:rsid w:val="00333C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3C30"/>
  </w:style>
  <w:style w:type="table" w:styleId="Tablaconcuadrcula">
    <w:name w:val="Table Grid"/>
    <w:basedOn w:val="Tablanormal"/>
    <w:uiPriority w:val="59"/>
    <w:rsid w:val="00D94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
    <w:name w:val="Light Grid"/>
    <w:basedOn w:val="Tablanormal"/>
    <w:uiPriority w:val="62"/>
    <w:rsid w:val="002A068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Refdecomentario">
    <w:name w:val="annotation reference"/>
    <w:basedOn w:val="Fuentedeprrafopredeter"/>
    <w:uiPriority w:val="99"/>
    <w:semiHidden/>
    <w:unhideWhenUsed/>
    <w:rsid w:val="001B0100"/>
    <w:rPr>
      <w:sz w:val="16"/>
      <w:szCs w:val="16"/>
    </w:rPr>
  </w:style>
  <w:style w:type="paragraph" w:styleId="Textocomentario">
    <w:name w:val="annotation text"/>
    <w:basedOn w:val="Normal"/>
    <w:link w:val="TextocomentarioCar"/>
    <w:uiPriority w:val="99"/>
    <w:semiHidden/>
    <w:unhideWhenUsed/>
    <w:rsid w:val="001B0100"/>
    <w:pPr>
      <w:spacing w:after="160" w:line="240" w:lineRule="auto"/>
    </w:pPr>
    <w:rPr>
      <w:sz w:val="20"/>
      <w:szCs w:val="20"/>
      <w:lang w:val="en-US"/>
    </w:rPr>
  </w:style>
  <w:style w:type="character" w:customStyle="1" w:styleId="TextocomentarioCar">
    <w:name w:val="Texto comentario Car"/>
    <w:basedOn w:val="Fuentedeprrafopredeter"/>
    <w:link w:val="Textocomentario"/>
    <w:uiPriority w:val="99"/>
    <w:semiHidden/>
    <w:rsid w:val="001B0100"/>
    <w:rPr>
      <w:sz w:val="20"/>
      <w:szCs w:val="20"/>
      <w:lang w:val="en-US"/>
    </w:rPr>
  </w:style>
  <w:style w:type="paragraph" w:customStyle="1" w:styleId="paragraph">
    <w:name w:val="paragraph"/>
    <w:basedOn w:val="Normal"/>
    <w:rsid w:val="00F469F0"/>
    <w:pPr>
      <w:spacing w:after="0" w:line="240" w:lineRule="auto"/>
    </w:pPr>
    <w:rPr>
      <w:rFonts w:ascii="Times New Roman" w:eastAsia="Times New Roman" w:hAnsi="Times New Roman" w:cs="Times New Roman"/>
      <w:sz w:val="24"/>
      <w:szCs w:val="24"/>
      <w:lang w:eastAsia="es-MX"/>
    </w:rPr>
  </w:style>
  <w:style w:type="character" w:customStyle="1" w:styleId="normaltextrun1">
    <w:name w:val="normaltextrun1"/>
    <w:basedOn w:val="Fuentedeprrafopredeter"/>
    <w:rsid w:val="00F469F0"/>
  </w:style>
  <w:style w:type="table" w:customStyle="1" w:styleId="Tablaconcuadrcula1">
    <w:name w:val="Tabla con cuadrícula1"/>
    <w:basedOn w:val="Tablanormal"/>
    <w:next w:val="Tablaconcuadrcula"/>
    <w:uiPriority w:val="59"/>
    <w:rsid w:val="00666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412877">
      <w:bodyDiv w:val="1"/>
      <w:marLeft w:val="0"/>
      <w:marRight w:val="0"/>
      <w:marTop w:val="0"/>
      <w:marBottom w:val="0"/>
      <w:divBdr>
        <w:top w:val="none" w:sz="0" w:space="0" w:color="auto"/>
        <w:left w:val="none" w:sz="0" w:space="0" w:color="auto"/>
        <w:bottom w:val="none" w:sz="0" w:space="0" w:color="auto"/>
        <w:right w:val="none" w:sz="0" w:space="0" w:color="auto"/>
      </w:divBdr>
    </w:div>
    <w:div w:id="839585933">
      <w:bodyDiv w:val="1"/>
      <w:marLeft w:val="0"/>
      <w:marRight w:val="0"/>
      <w:marTop w:val="0"/>
      <w:marBottom w:val="0"/>
      <w:divBdr>
        <w:top w:val="none" w:sz="0" w:space="0" w:color="auto"/>
        <w:left w:val="none" w:sz="0" w:space="0" w:color="auto"/>
        <w:bottom w:val="none" w:sz="0" w:space="0" w:color="auto"/>
        <w:right w:val="none" w:sz="0" w:space="0" w:color="auto"/>
      </w:divBdr>
    </w:div>
    <w:div w:id="87277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ca.galicia@uacj.mx" TargetMode="Externa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154790@alumnos.uacj.mx"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emf"/><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8683E-EF25-4465-B5F7-1558AB1CA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Pages>
  <Words>5853</Words>
  <Characters>32195</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LordJona</dc:creator>
  <cp:lastModifiedBy>jonathan josue calvillo solis</cp:lastModifiedBy>
  <cp:revision>21</cp:revision>
  <dcterms:created xsi:type="dcterms:W3CDTF">2017-08-11T20:36:00Z</dcterms:created>
  <dcterms:modified xsi:type="dcterms:W3CDTF">2019-09-16T03:24:00Z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51cc13a4-54a8-3c8e-b8fc-797dc8589bd1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