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0701BD" w14:textId="77777777" w:rsidR="0070001A" w:rsidRPr="00D36727" w:rsidRDefault="00627684" w:rsidP="00F7467A">
      <w:pPr>
        <w:spacing w:line="276" w:lineRule="auto"/>
        <w:jc w:val="center"/>
        <w:rPr>
          <w:rFonts w:ascii="Arial" w:hAnsi="Arial" w:cs="Arial"/>
          <w:b/>
          <w:bCs/>
          <w:sz w:val="28"/>
          <w:szCs w:val="28"/>
        </w:rPr>
      </w:pPr>
      <w:r w:rsidRPr="00D36727">
        <w:rPr>
          <w:rFonts w:ascii="Arial" w:hAnsi="Arial" w:cs="Arial"/>
          <w:b/>
          <w:bCs/>
          <w:sz w:val="28"/>
          <w:szCs w:val="28"/>
        </w:rPr>
        <w:t>Incendios forestales en la Costa Alegre de Jalisco y su relación con actividades agropecuarias 2010-2018</w:t>
      </w:r>
    </w:p>
    <w:p w14:paraId="65DA96E9" w14:textId="77777777" w:rsidR="00627684" w:rsidRDefault="00627684" w:rsidP="00F7467A">
      <w:pPr>
        <w:spacing w:line="276" w:lineRule="auto"/>
        <w:jc w:val="center"/>
        <w:rPr>
          <w:rFonts w:ascii="Arial" w:hAnsi="Arial" w:cs="Arial"/>
          <w:sz w:val="24"/>
          <w:szCs w:val="24"/>
        </w:rPr>
      </w:pPr>
      <w:r>
        <w:rPr>
          <w:rFonts w:ascii="Arial" w:hAnsi="Arial" w:cs="Arial"/>
          <w:sz w:val="24"/>
          <w:szCs w:val="24"/>
        </w:rPr>
        <w:t xml:space="preserve">Autor: </w:t>
      </w:r>
      <w:r w:rsidRPr="00627684">
        <w:rPr>
          <w:rFonts w:ascii="Arial" w:hAnsi="Arial" w:cs="Arial"/>
          <w:sz w:val="24"/>
          <w:szCs w:val="24"/>
        </w:rPr>
        <w:t>Karla Mishel Valdez Zavala, Estudiante de Licenciatura en Ge</w:t>
      </w:r>
      <w:r>
        <w:rPr>
          <w:rFonts w:ascii="Arial" w:hAnsi="Arial" w:cs="Arial"/>
          <w:sz w:val="24"/>
          <w:szCs w:val="24"/>
        </w:rPr>
        <w:t>o</w:t>
      </w:r>
      <w:r w:rsidRPr="00627684">
        <w:rPr>
          <w:rFonts w:ascii="Arial" w:hAnsi="Arial" w:cs="Arial"/>
          <w:sz w:val="24"/>
          <w:szCs w:val="24"/>
        </w:rPr>
        <w:t>informática, Universidad Autónoma de Ciudad Juáre</w:t>
      </w:r>
      <w:r>
        <w:rPr>
          <w:rFonts w:ascii="Arial" w:hAnsi="Arial" w:cs="Arial"/>
          <w:sz w:val="24"/>
          <w:szCs w:val="24"/>
        </w:rPr>
        <w:t>z.</w:t>
      </w:r>
      <w:r w:rsidRPr="00627684">
        <w:rPr>
          <w:rFonts w:ascii="Arial" w:hAnsi="Arial" w:cs="Arial"/>
          <w:sz w:val="24"/>
          <w:szCs w:val="24"/>
        </w:rPr>
        <w:t xml:space="preserve"> </w:t>
      </w:r>
      <w:r>
        <w:rPr>
          <w:rFonts w:ascii="Arial" w:hAnsi="Arial" w:cs="Arial"/>
          <w:sz w:val="24"/>
          <w:szCs w:val="24"/>
        </w:rPr>
        <w:t>C</w:t>
      </w:r>
      <w:r w:rsidRPr="00627684">
        <w:rPr>
          <w:rFonts w:ascii="Arial" w:hAnsi="Arial" w:cs="Arial"/>
          <w:sz w:val="24"/>
          <w:szCs w:val="24"/>
        </w:rPr>
        <w:t xml:space="preserve">orreo electrónico: </w:t>
      </w:r>
      <w:hyperlink r:id="rId4" w:history="1">
        <w:r w:rsidRPr="005015CB">
          <w:rPr>
            <w:rStyle w:val="Hipervnculo"/>
            <w:rFonts w:ascii="Arial" w:hAnsi="Arial" w:cs="Arial"/>
            <w:sz w:val="24"/>
            <w:szCs w:val="24"/>
          </w:rPr>
          <w:t>al158008@alumnos.uacj.mx</w:t>
        </w:r>
      </w:hyperlink>
    </w:p>
    <w:p w14:paraId="57AA0CCD" w14:textId="4FA102B7" w:rsidR="00627684" w:rsidRDefault="00627684" w:rsidP="00F7467A">
      <w:pPr>
        <w:spacing w:line="276" w:lineRule="auto"/>
        <w:jc w:val="center"/>
        <w:rPr>
          <w:rFonts w:ascii="Arial" w:hAnsi="Arial" w:cs="Arial"/>
          <w:sz w:val="24"/>
          <w:szCs w:val="24"/>
        </w:rPr>
      </w:pPr>
      <w:r>
        <w:rPr>
          <w:rFonts w:ascii="Arial" w:hAnsi="Arial" w:cs="Arial"/>
          <w:sz w:val="24"/>
          <w:szCs w:val="24"/>
        </w:rPr>
        <w:t>Coautor: Julio César Morales Hernández</w:t>
      </w:r>
    </w:p>
    <w:p w14:paraId="19AA2290" w14:textId="301E7D0E" w:rsidR="00D52136" w:rsidRPr="00A2745B" w:rsidRDefault="00627684" w:rsidP="00A2745B">
      <w:pPr>
        <w:spacing w:line="360" w:lineRule="auto"/>
        <w:jc w:val="both"/>
        <w:rPr>
          <w:rFonts w:ascii="Arial" w:hAnsi="Arial" w:cs="Arial"/>
          <w:b/>
          <w:bCs/>
          <w:sz w:val="24"/>
          <w:szCs w:val="24"/>
        </w:rPr>
      </w:pPr>
      <w:r w:rsidRPr="00082B12">
        <w:rPr>
          <w:rFonts w:ascii="Arial" w:hAnsi="Arial" w:cs="Arial"/>
          <w:b/>
          <w:bCs/>
          <w:sz w:val="24"/>
          <w:szCs w:val="24"/>
        </w:rPr>
        <w:t>Resumen</w:t>
      </w:r>
      <w:r w:rsidR="00D36727">
        <w:rPr>
          <w:rFonts w:ascii="Arial" w:hAnsi="Arial" w:cs="Arial"/>
          <w:b/>
          <w:bCs/>
          <w:sz w:val="24"/>
          <w:szCs w:val="24"/>
        </w:rPr>
        <w:t>.</w:t>
      </w:r>
      <w:r w:rsidR="00A2745B">
        <w:rPr>
          <w:rFonts w:ascii="Arial" w:hAnsi="Arial" w:cs="Arial"/>
          <w:b/>
          <w:bCs/>
          <w:sz w:val="24"/>
          <w:szCs w:val="24"/>
        </w:rPr>
        <w:t xml:space="preserve"> </w:t>
      </w:r>
      <w:r w:rsidR="00F0384E" w:rsidRPr="00F0384E">
        <w:rPr>
          <w:rFonts w:ascii="Arial" w:hAnsi="Arial" w:cs="Arial"/>
          <w:sz w:val="24"/>
          <w:szCs w:val="24"/>
        </w:rPr>
        <w:t>Los ince</w:t>
      </w:r>
      <w:r w:rsidR="00F0384E">
        <w:rPr>
          <w:rFonts w:ascii="Arial" w:hAnsi="Arial" w:cs="Arial"/>
          <w:sz w:val="24"/>
          <w:szCs w:val="24"/>
        </w:rPr>
        <w:t xml:space="preserve">ndios </w:t>
      </w:r>
      <w:r w:rsidR="006846B4">
        <w:rPr>
          <w:rFonts w:ascii="Arial" w:hAnsi="Arial" w:cs="Arial"/>
          <w:sz w:val="24"/>
          <w:szCs w:val="24"/>
        </w:rPr>
        <w:t>forestales</w:t>
      </w:r>
      <w:r w:rsidR="00F0384E">
        <w:rPr>
          <w:rFonts w:ascii="Arial" w:hAnsi="Arial" w:cs="Arial"/>
          <w:sz w:val="24"/>
          <w:szCs w:val="24"/>
        </w:rPr>
        <w:t xml:space="preserve"> forman parte de</w:t>
      </w:r>
      <w:r w:rsidR="001E20EB">
        <w:rPr>
          <w:rFonts w:ascii="Arial" w:hAnsi="Arial" w:cs="Arial"/>
          <w:sz w:val="24"/>
          <w:szCs w:val="24"/>
        </w:rPr>
        <w:t xml:space="preserve"> la </w:t>
      </w:r>
      <w:r w:rsidR="009D7651">
        <w:rPr>
          <w:rFonts w:ascii="Arial" w:hAnsi="Arial" w:cs="Arial"/>
          <w:sz w:val="24"/>
          <w:szCs w:val="24"/>
        </w:rPr>
        <w:t xml:space="preserve">dinámica natural, sin embargo en </w:t>
      </w:r>
      <w:r w:rsidR="006846B4">
        <w:rPr>
          <w:rFonts w:ascii="Arial" w:hAnsi="Arial" w:cs="Arial"/>
          <w:sz w:val="24"/>
          <w:szCs w:val="24"/>
        </w:rPr>
        <w:t>México</w:t>
      </w:r>
      <w:r w:rsidR="009D7651">
        <w:rPr>
          <w:rFonts w:ascii="Arial" w:hAnsi="Arial" w:cs="Arial"/>
          <w:sz w:val="24"/>
          <w:szCs w:val="24"/>
        </w:rPr>
        <w:t xml:space="preserve"> la mayoría corresponden a procesos antrópicos que afectan a los </w:t>
      </w:r>
      <w:r w:rsidR="00555D00">
        <w:rPr>
          <w:rFonts w:ascii="Arial" w:hAnsi="Arial" w:cs="Arial"/>
          <w:sz w:val="24"/>
          <w:szCs w:val="24"/>
        </w:rPr>
        <w:t xml:space="preserve">ecosistemas. </w:t>
      </w:r>
      <w:r w:rsidR="00350737" w:rsidRPr="009A5CE8">
        <w:rPr>
          <w:rFonts w:ascii="Arial" w:hAnsi="Arial" w:cs="Arial"/>
          <w:sz w:val="24"/>
          <w:szCs w:val="24"/>
          <w:lang w:val="es-MX"/>
        </w:rPr>
        <w:t>La región Costa Alegre de Jalisco se ha destacado en los últimos 5 años por la aparición de incendios forestales, por lo que la pérdida de veget</w:t>
      </w:r>
      <w:r w:rsidR="005B5B38">
        <w:rPr>
          <w:rFonts w:ascii="Arial" w:hAnsi="Arial" w:cs="Arial"/>
          <w:sz w:val="24"/>
          <w:szCs w:val="24"/>
          <w:lang w:val="es-MX"/>
        </w:rPr>
        <w:t xml:space="preserve">ación natural </w:t>
      </w:r>
      <w:r w:rsidR="00350737" w:rsidRPr="009A5CE8">
        <w:rPr>
          <w:rFonts w:ascii="Arial" w:hAnsi="Arial" w:cs="Arial"/>
          <w:sz w:val="24"/>
          <w:szCs w:val="24"/>
          <w:lang w:val="es-MX"/>
        </w:rPr>
        <w:t xml:space="preserve">se </w:t>
      </w:r>
      <w:r w:rsidR="00B6771D">
        <w:rPr>
          <w:rFonts w:ascii="Arial" w:hAnsi="Arial" w:cs="Arial"/>
          <w:sz w:val="24"/>
          <w:szCs w:val="24"/>
          <w:lang w:val="es-MX"/>
        </w:rPr>
        <w:t>reduce</w:t>
      </w:r>
      <w:r w:rsidR="006759FD">
        <w:rPr>
          <w:rFonts w:ascii="Arial" w:hAnsi="Arial" w:cs="Arial"/>
          <w:sz w:val="24"/>
          <w:szCs w:val="24"/>
          <w:lang w:val="es-MX"/>
        </w:rPr>
        <w:t>. El análisis se realizó con puntos de calor correspondientes al periodo 2010-2018. S</w:t>
      </w:r>
      <w:r w:rsidR="006759FD" w:rsidRPr="0042665F">
        <w:rPr>
          <w:rFonts w:ascii="Arial" w:hAnsi="Arial" w:cs="Arial"/>
          <w:sz w:val="24"/>
          <w:szCs w:val="24"/>
          <w:lang w:val="es-MX"/>
        </w:rPr>
        <w:t>e obtuvo un total de 14,522 puntos de calor</w:t>
      </w:r>
      <w:r w:rsidR="006759FD">
        <w:rPr>
          <w:rFonts w:ascii="Arial" w:hAnsi="Arial" w:cs="Arial"/>
          <w:sz w:val="24"/>
          <w:szCs w:val="24"/>
          <w:lang w:val="es-MX"/>
        </w:rPr>
        <w:t xml:space="preserve"> en el periodo</w:t>
      </w:r>
      <w:r w:rsidR="004D0AA9">
        <w:rPr>
          <w:rFonts w:ascii="Arial" w:hAnsi="Arial" w:cs="Arial"/>
          <w:sz w:val="24"/>
          <w:szCs w:val="24"/>
          <w:lang w:val="es-MX"/>
        </w:rPr>
        <w:t>,</w:t>
      </w:r>
      <w:r w:rsidR="006759FD">
        <w:rPr>
          <w:rFonts w:ascii="Arial" w:hAnsi="Arial" w:cs="Arial"/>
          <w:sz w:val="24"/>
          <w:szCs w:val="24"/>
          <w:lang w:val="es-MX"/>
        </w:rPr>
        <w:t xml:space="preserve"> de los cuales los años con menor y mayor puntos corresponden a 2010 y 2016, con 339 y </w:t>
      </w:r>
      <w:r w:rsidR="006759FD" w:rsidRPr="00215089">
        <w:rPr>
          <w:rFonts w:ascii="Arial" w:hAnsi="Arial" w:cs="Arial"/>
          <w:sz w:val="24"/>
          <w:szCs w:val="24"/>
          <w:lang w:val="es-MX"/>
        </w:rPr>
        <w:t>4,998 puntos de calor</w:t>
      </w:r>
      <w:r w:rsidR="006759FD">
        <w:rPr>
          <w:rFonts w:ascii="Arial" w:hAnsi="Arial" w:cs="Arial"/>
          <w:sz w:val="24"/>
          <w:szCs w:val="24"/>
          <w:lang w:val="es-MX"/>
        </w:rPr>
        <w:t>.</w:t>
      </w:r>
      <w:r w:rsidR="00A874A2">
        <w:rPr>
          <w:rFonts w:ascii="Arial" w:hAnsi="Arial" w:cs="Arial"/>
          <w:sz w:val="24"/>
          <w:szCs w:val="24"/>
          <w:lang w:val="es-MX"/>
        </w:rPr>
        <w:t xml:space="preserve"> </w:t>
      </w:r>
      <w:r w:rsidR="00A874A2" w:rsidRPr="008B5D53">
        <w:rPr>
          <w:rFonts w:ascii="Arial" w:hAnsi="Arial" w:cs="Arial"/>
          <w:sz w:val="24"/>
          <w:szCs w:val="24"/>
        </w:rPr>
        <w:t>En cuanto al análisis de vegetación, los dos tipos mayormente afectad</w:t>
      </w:r>
      <w:r w:rsidR="004D0AA9">
        <w:rPr>
          <w:rFonts w:ascii="Arial" w:hAnsi="Arial" w:cs="Arial"/>
          <w:sz w:val="24"/>
          <w:szCs w:val="24"/>
        </w:rPr>
        <w:t>o</w:t>
      </w:r>
      <w:r w:rsidR="00A874A2" w:rsidRPr="008B5D53">
        <w:rPr>
          <w:rFonts w:ascii="Arial" w:hAnsi="Arial" w:cs="Arial"/>
          <w:sz w:val="24"/>
          <w:szCs w:val="24"/>
        </w:rPr>
        <w:t xml:space="preserve">s se encuentran </w:t>
      </w:r>
      <w:r w:rsidR="004D0AA9">
        <w:rPr>
          <w:rFonts w:ascii="Arial" w:hAnsi="Arial" w:cs="Arial"/>
          <w:sz w:val="24"/>
          <w:szCs w:val="24"/>
        </w:rPr>
        <w:t xml:space="preserve">en </w:t>
      </w:r>
      <w:r w:rsidR="00A874A2" w:rsidRPr="008B5D53">
        <w:rPr>
          <w:rFonts w:ascii="Arial" w:hAnsi="Arial" w:cs="Arial"/>
          <w:sz w:val="24"/>
          <w:szCs w:val="24"/>
        </w:rPr>
        <w:t>la selva baja y el bosque</w:t>
      </w:r>
      <w:r w:rsidR="00A874A2">
        <w:rPr>
          <w:rFonts w:ascii="Arial" w:hAnsi="Arial" w:cs="Arial"/>
          <w:sz w:val="24"/>
          <w:szCs w:val="24"/>
        </w:rPr>
        <w:t>. E</w:t>
      </w:r>
      <w:r w:rsidR="00A874A2" w:rsidRPr="00A874A2">
        <w:rPr>
          <w:rFonts w:ascii="Arial" w:hAnsi="Arial" w:cs="Arial"/>
          <w:sz w:val="24"/>
          <w:szCs w:val="24"/>
        </w:rPr>
        <w:t xml:space="preserve">l método utilizado facilita el monitoreo y manejo ambiental de zonas afectadas por fuego en </w:t>
      </w:r>
      <w:r w:rsidR="00A874A2">
        <w:rPr>
          <w:rFonts w:ascii="Arial" w:hAnsi="Arial" w:cs="Arial"/>
          <w:sz w:val="24"/>
          <w:szCs w:val="24"/>
        </w:rPr>
        <w:t>Jalisco</w:t>
      </w:r>
      <w:r w:rsidR="00A874A2" w:rsidRPr="00A874A2">
        <w:rPr>
          <w:rFonts w:ascii="Arial" w:hAnsi="Arial" w:cs="Arial"/>
          <w:sz w:val="24"/>
          <w:szCs w:val="24"/>
        </w:rPr>
        <w:t>, y puede replicarse en regiones con condiciones similares.</w:t>
      </w:r>
    </w:p>
    <w:p w14:paraId="3A2808C2" w14:textId="4ACB0ACB" w:rsidR="00627684" w:rsidRPr="009F022C" w:rsidRDefault="00627684" w:rsidP="009F022C">
      <w:pPr>
        <w:spacing w:line="360" w:lineRule="auto"/>
        <w:jc w:val="both"/>
        <w:rPr>
          <w:rFonts w:ascii="Arial" w:hAnsi="Arial" w:cs="Arial"/>
          <w:b/>
          <w:bCs/>
          <w:sz w:val="24"/>
          <w:szCs w:val="24"/>
        </w:rPr>
      </w:pPr>
      <w:r w:rsidRPr="00082B12">
        <w:rPr>
          <w:rFonts w:ascii="Arial" w:hAnsi="Arial" w:cs="Arial"/>
          <w:b/>
          <w:bCs/>
          <w:sz w:val="24"/>
          <w:szCs w:val="24"/>
        </w:rPr>
        <w:t>Palabras clave</w:t>
      </w:r>
      <w:r w:rsidR="00D36727">
        <w:rPr>
          <w:rFonts w:ascii="Arial" w:hAnsi="Arial" w:cs="Arial"/>
          <w:b/>
          <w:bCs/>
          <w:sz w:val="24"/>
          <w:szCs w:val="24"/>
        </w:rPr>
        <w:t>.</w:t>
      </w:r>
      <w:r w:rsidR="009F022C">
        <w:rPr>
          <w:rFonts w:ascii="Arial" w:hAnsi="Arial" w:cs="Arial"/>
          <w:b/>
          <w:bCs/>
          <w:sz w:val="24"/>
          <w:szCs w:val="24"/>
        </w:rPr>
        <w:t xml:space="preserve"> </w:t>
      </w:r>
      <w:r w:rsidR="00082B12">
        <w:rPr>
          <w:rFonts w:ascii="Arial" w:hAnsi="Arial" w:cs="Arial"/>
          <w:sz w:val="24"/>
          <w:szCs w:val="24"/>
        </w:rPr>
        <w:t xml:space="preserve">incendios forestales, cobertura, puntos de calor, </w:t>
      </w:r>
      <w:proofErr w:type="spellStart"/>
      <w:r w:rsidR="00082B12">
        <w:rPr>
          <w:rFonts w:ascii="Arial" w:hAnsi="Arial" w:cs="Arial"/>
          <w:sz w:val="24"/>
          <w:szCs w:val="24"/>
        </w:rPr>
        <w:t>google</w:t>
      </w:r>
      <w:proofErr w:type="spellEnd"/>
      <w:r w:rsidR="00082B12">
        <w:rPr>
          <w:rFonts w:ascii="Arial" w:hAnsi="Arial" w:cs="Arial"/>
          <w:sz w:val="24"/>
          <w:szCs w:val="24"/>
        </w:rPr>
        <w:t xml:space="preserve"> </w:t>
      </w:r>
      <w:proofErr w:type="spellStart"/>
      <w:r w:rsidR="00082B12">
        <w:rPr>
          <w:rFonts w:ascii="Arial" w:hAnsi="Arial" w:cs="Arial"/>
          <w:sz w:val="24"/>
          <w:szCs w:val="24"/>
        </w:rPr>
        <w:t>earth</w:t>
      </w:r>
      <w:proofErr w:type="spellEnd"/>
      <w:r w:rsidR="00082B12">
        <w:rPr>
          <w:rFonts w:ascii="Arial" w:hAnsi="Arial" w:cs="Arial"/>
          <w:sz w:val="24"/>
          <w:szCs w:val="24"/>
        </w:rPr>
        <w:t xml:space="preserve"> </w:t>
      </w:r>
      <w:proofErr w:type="spellStart"/>
      <w:r w:rsidR="00082B12">
        <w:rPr>
          <w:rFonts w:ascii="Arial" w:hAnsi="Arial" w:cs="Arial"/>
          <w:sz w:val="24"/>
          <w:szCs w:val="24"/>
        </w:rPr>
        <w:t>engine</w:t>
      </w:r>
      <w:proofErr w:type="spellEnd"/>
      <w:r w:rsidR="00082B12">
        <w:rPr>
          <w:rFonts w:ascii="Arial" w:hAnsi="Arial" w:cs="Arial"/>
          <w:sz w:val="24"/>
          <w:szCs w:val="24"/>
        </w:rPr>
        <w:t xml:space="preserve">, </w:t>
      </w:r>
      <w:r w:rsidR="001947DF">
        <w:rPr>
          <w:rFonts w:ascii="Arial" w:hAnsi="Arial" w:cs="Arial"/>
          <w:sz w:val="24"/>
          <w:szCs w:val="24"/>
        </w:rPr>
        <w:t>jalisco.</w:t>
      </w:r>
    </w:p>
    <w:p w14:paraId="1172D963" w14:textId="7E7DDD46" w:rsidR="00F64E2A" w:rsidRPr="009F022C" w:rsidRDefault="00F64E2A" w:rsidP="009F022C">
      <w:pPr>
        <w:spacing w:line="360" w:lineRule="auto"/>
        <w:jc w:val="both"/>
        <w:rPr>
          <w:rFonts w:ascii="Arial" w:hAnsi="Arial" w:cs="Arial"/>
          <w:sz w:val="24"/>
          <w:szCs w:val="24"/>
        </w:rPr>
      </w:pPr>
      <w:r w:rsidRPr="00F64E2A">
        <w:rPr>
          <w:rFonts w:ascii="Arial" w:hAnsi="Arial" w:cs="Arial"/>
          <w:b/>
          <w:bCs/>
          <w:sz w:val="24"/>
          <w:szCs w:val="24"/>
        </w:rPr>
        <w:t>Introducción.</w:t>
      </w:r>
      <w:r w:rsidR="009F022C">
        <w:rPr>
          <w:rFonts w:ascii="Arial" w:hAnsi="Arial" w:cs="Arial"/>
          <w:sz w:val="24"/>
          <w:szCs w:val="24"/>
        </w:rPr>
        <w:t xml:space="preserve"> </w:t>
      </w:r>
      <w:r w:rsidRPr="00F64E2A">
        <w:rPr>
          <w:rFonts w:ascii="Arial" w:hAnsi="Arial" w:cs="Arial"/>
          <w:sz w:val="24"/>
          <w:szCs w:val="24"/>
          <w:lang w:val="es-MX"/>
        </w:rPr>
        <w:t xml:space="preserve">Los incendios forestales forman parte del ciclo natural de la naturaleza que ayuda notablemente a la regeneración de patrones, mantenimiento de la estructura, el funcionamiento y la dinámica natural de los ecosistemas </w:t>
      </w:r>
      <w:r w:rsidRPr="00F64E2A">
        <w:rPr>
          <w:rFonts w:ascii="Arial" w:hAnsi="Arial" w:cs="Arial"/>
          <w:sz w:val="24"/>
          <w:szCs w:val="24"/>
          <w:lang w:val="es-MX"/>
        </w:rPr>
        <w:fldChar w:fldCharType="begin"/>
      </w:r>
      <w:r w:rsidRPr="00F64E2A">
        <w:rPr>
          <w:rFonts w:ascii="Arial" w:hAnsi="Arial" w:cs="Arial"/>
          <w:sz w:val="24"/>
          <w:szCs w:val="24"/>
          <w:lang w:val="es-MX"/>
        </w:rPr>
        <w:instrText xml:space="preserve"> ADDIN ZOTERO_ITEM CSL_CITATION {"citationID":"jPLBG4ZT","properties":{"formattedCitation":"(Villers, 2006)","plainCitation":"(Villers, 2006)","noteIndex":0},"citationItems":[{"id":372,"uris":["http://zotero.org/users/local/rDounJIe/items/WQEXH76E"],"uri":["http://zotero.org/users/local/rDounJIe/items/WQEXH76E"],"itemData":{"id":372,"type":"article-magazine","title":"Incendios forestales","container-title":"Revista de ciencias","page":"60-66","volume":"81","issue":"81","abstract":"Se describen los principales elementos que intervienen para que se genere un incendio forestal –combustibles, variables metereológicas y de relieve– y se analizan los requisitos para intregrarlos en modelos para evaluar situaciones reales de vulnerabilidad y riesgo de incendios forestales.","ISSN":"0187-6376","shortTitle":"Incendios forestales","language":"es","author":[{"family":"Villers","given":"Ma. de Lourdes"}],"issued":{"date-parts":[["2006"]]}}}],"schema":"https://github.com/citation-style-language/schema/raw/master/csl-citation.json"} </w:instrText>
      </w:r>
      <w:r w:rsidRPr="00F64E2A">
        <w:rPr>
          <w:rFonts w:ascii="Arial" w:hAnsi="Arial" w:cs="Arial"/>
          <w:sz w:val="24"/>
          <w:szCs w:val="24"/>
          <w:lang w:val="es-MX"/>
        </w:rPr>
        <w:fldChar w:fldCharType="separate"/>
      </w:r>
      <w:r w:rsidRPr="00F64E2A">
        <w:rPr>
          <w:rFonts w:ascii="Arial" w:hAnsi="Arial" w:cs="Arial"/>
          <w:sz w:val="24"/>
        </w:rPr>
        <w:t>(Villers, 2006)</w:t>
      </w:r>
      <w:r w:rsidRPr="00F64E2A">
        <w:rPr>
          <w:rFonts w:ascii="Arial" w:hAnsi="Arial" w:cs="Arial"/>
          <w:sz w:val="24"/>
          <w:szCs w:val="24"/>
          <w:lang w:val="es-MX"/>
        </w:rPr>
        <w:fldChar w:fldCharType="end"/>
      </w:r>
      <w:r w:rsidRPr="00F64E2A">
        <w:rPr>
          <w:rFonts w:ascii="Arial" w:hAnsi="Arial" w:cs="Arial"/>
          <w:sz w:val="24"/>
          <w:szCs w:val="24"/>
          <w:lang w:val="es-MX"/>
        </w:rPr>
        <w:t xml:space="preserve">. En México, los incendios forestales en su mayoría no corresponden a procesos naturales, es donde las actividades antropogénicas y los sistemas humanos alteran y afectan un ecosistema en cuestión de segundos. </w:t>
      </w:r>
      <w:r w:rsidRPr="00F64E2A">
        <w:rPr>
          <w:rFonts w:ascii="Arial" w:hAnsi="Arial" w:cs="Arial"/>
          <w:sz w:val="24"/>
          <w:szCs w:val="24"/>
          <w:lang w:val="es-MX"/>
        </w:rPr>
        <w:fldChar w:fldCharType="begin"/>
      </w:r>
      <w:r w:rsidRPr="00F64E2A">
        <w:rPr>
          <w:rFonts w:ascii="Arial" w:hAnsi="Arial" w:cs="Arial"/>
          <w:sz w:val="24"/>
          <w:szCs w:val="24"/>
          <w:lang w:val="es-MX"/>
        </w:rPr>
        <w:instrText xml:space="preserve"> ADDIN ZOTERO_ITEM CSL_CITATION {"citationID":"pbKZ1Sjr","properties":{"formattedCitation":"(Mathews, 2006)","plainCitation":"(Mathews, 2006)","noteIndex":0},"citationItems":[{"id":374,"uris":["http://zotero.org/users/local/rDounJIe/items/NGFC9587"],"uri":["http://zotero.org/users/local/rDounJIe/items/NGFC9587"],"itemData":{"id":374,"type":"article-journal","title":"Ignorancia, conocimiento y poder: El corte de la madera, el tráfico ilegal y las políticas forestales en México","container-title":"Desacatos","page":"135-160","issue":"21","source":"SciELO","abstract":"Los estereotipos académicos y populares acerca del Estado dan por sentado que el poder oficial y el conocimiento van de la mano. Mediante una etnografía de la dependencia gubernamental mexicana para el medio ambiente, Semarnap, el autor demuestra que la ignorancia y la complicidad pueden ser tan importantes como el conocimiento cuando se trata de ejercer el poder estatal. La ignorancia oficial en torno a la tala ilegal de leña se presenta al interior y exterior de las instituciones gubernamentales encargadas de la silvicultura. El conocimiento y la ignorancia oficiales justifican el poder estatal y se arraigan gracias a las prácticas cotidianas de los burócratas. Poner una mayor atención a la producción y transmisión del conocimiento al interior de las instituciones gubernamentales conduce a un saber más matizado de las diversas formas de confusión e ignorancia que acompañan las afirmaciones del conocimiento oficial.","ISSN":"1607-050X","shortTitle":"Ignorancia, conocimiento y poder","author":[{"family":"Mathews","given":"Andrew S."}],"issued":{"date-parts":[["2006"]]}}}],"schema":"https://github.com/citation-style-language/schema/raw/master/csl-citation.json"} </w:instrText>
      </w:r>
      <w:r w:rsidRPr="00F64E2A">
        <w:rPr>
          <w:rFonts w:ascii="Arial" w:hAnsi="Arial" w:cs="Arial"/>
          <w:sz w:val="24"/>
          <w:szCs w:val="24"/>
          <w:lang w:val="es-MX"/>
        </w:rPr>
        <w:fldChar w:fldCharType="separate"/>
      </w:r>
      <w:r w:rsidRPr="00F64E2A">
        <w:rPr>
          <w:rFonts w:ascii="Arial" w:hAnsi="Arial" w:cs="Arial"/>
          <w:sz w:val="24"/>
        </w:rPr>
        <w:t>(Mathews, 2006)</w:t>
      </w:r>
      <w:r w:rsidRPr="00F64E2A">
        <w:rPr>
          <w:rFonts w:ascii="Arial" w:hAnsi="Arial" w:cs="Arial"/>
          <w:sz w:val="24"/>
          <w:szCs w:val="24"/>
          <w:lang w:val="es-MX"/>
        </w:rPr>
        <w:fldChar w:fldCharType="end"/>
      </w:r>
      <w:r w:rsidRPr="00F64E2A">
        <w:rPr>
          <w:rFonts w:ascii="Arial" w:hAnsi="Arial" w:cs="Arial"/>
          <w:sz w:val="24"/>
          <w:szCs w:val="24"/>
          <w:lang w:val="es-MX"/>
        </w:rPr>
        <w:t>, por lo que se puede relacionar, a que los incendios forestales son uno de los factores con mayor importancia si en factores de perturbación que más daño causa se habla.</w:t>
      </w:r>
    </w:p>
    <w:p w14:paraId="7E0A62B5" w14:textId="77777777" w:rsidR="00F64E2A" w:rsidRPr="00F64E2A" w:rsidRDefault="00F64E2A" w:rsidP="00F64E2A">
      <w:pPr>
        <w:spacing w:line="360" w:lineRule="auto"/>
        <w:jc w:val="both"/>
        <w:rPr>
          <w:rFonts w:ascii="Arial" w:hAnsi="Arial" w:cs="Arial"/>
          <w:sz w:val="24"/>
          <w:szCs w:val="24"/>
          <w:lang w:val="es-MX"/>
        </w:rPr>
      </w:pPr>
      <w:bookmarkStart w:id="0" w:name="_Hlk19123780"/>
      <w:r w:rsidRPr="00F64E2A">
        <w:rPr>
          <w:rFonts w:ascii="Arial" w:hAnsi="Arial" w:cs="Arial"/>
          <w:sz w:val="24"/>
          <w:szCs w:val="24"/>
          <w:lang w:val="es-MX"/>
        </w:rPr>
        <w:t xml:space="preserve">El estado de Jalisco, en los últimos años ha tenido presencia de incendios forestales, y aún más importante, tiene una larga historia de influencia humana en la modificación y adaptación del paisaje </w:t>
      </w:r>
      <w:bookmarkEnd w:id="0"/>
      <w:r w:rsidRPr="00F64E2A">
        <w:rPr>
          <w:rFonts w:ascii="Arial" w:hAnsi="Arial" w:cs="Arial"/>
          <w:sz w:val="24"/>
          <w:szCs w:val="24"/>
          <w:lang w:val="es-MX"/>
        </w:rPr>
        <w:fldChar w:fldCharType="begin"/>
      </w:r>
      <w:r w:rsidRPr="00F64E2A">
        <w:rPr>
          <w:rFonts w:ascii="Arial" w:hAnsi="Arial" w:cs="Arial"/>
          <w:sz w:val="24"/>
          <w:szCs w:val="24"/>
          <w:lang w:val="es-MX"/>
        </w:rPr>
        <w:instrText xml:space="preserve"> ADDIN ZOTERO_ITEM CSL_CITATION {"citationID":"qibU1qPa","properties":{"formattedCitation":"(Cerano et\\uc0\\u160{}al., 2015)","plainCitation":"(Cerano et al., 2015)","noteIndex":0},"citationItems":[{"id":377,"uris":["http://zotero.org/users/local/rDounJIe/items/ATANKXTM"],"uri":["http://zotero.org/users/local/rDounJIe/items/ATANKXTM"],"itemData":{"id":377,"type":"article-journal","title":"Historia de incendios en un bosque de pino de la sierra de Manantlán, Jalisco, México","container-title":"Bosque (Valdivia)","page":"41-52","volume":"36","issue":"1","source":"SciELO","DOI":"10.4067/S0717-92002015000100005","ISSN":"0717-9200","author":[{"family":"Cerano","given":"Julián"},{"family":"Villanueva","given":"José"},{"family":"Cervantes","given":"Rosalinda"},{"family":"Fulé","given":"Peter"},{"family":"Yocom","given":"Larissa"},{"family":"Esquivel","given":"Gerardo"},{"family":"Jardel","given":"Enrique"}],"issued":{"date-parts":[["2015"]]}}}],"schema":"https://github.com/citation-style-language/schema/raw/master/csl-citation.json"} </w:instrText>
      </w:r>
      <w:r w:rsidRPr="00F64E2A">
        <w:rPr>
          <w:rFonts w:ascii="Arial" w:hAnsi="Arial" w:cs="Arial"/>
          <w:sz w:val="24"/>
          <w:szCs w:val="24"/>
          <w:lang w:val="es-MX"/>
        </w:rPr>
        <w:fldChar w:fldCharType="separate"/>
      </w:r>
      <w:r w:rsidRPr="00F64E2A">
        <w:rPr>
          <w:rFonts w:ascii="Arial" w:hAnsi="Arial" w:cs="Arial"/>
          <w:sz w:val="24"/>
          <w:szCs w:val="24"/>
        </w:rPr>
        <w:t>(Cerano et al., 2015)</w:t>
      </w:r>
      <w:r w:rsidRPr="00F64E2A">
        <w:rPr>
          <w:rFonts w:ascii="Arial" w:hAnsi="Arial" w:cs="Arial"/>
          <w:sz w:val="24"/>
          <w:szCs w:val="24"/>
          <w:lang w:val="es-MX"/>
        </w:rPr>
        <w:fldChar w:fldCharType="end"/>
      </w:r>
      <w:r w:rsidRPr="00F64E2A">
        <w:rPr>
          <w:rFonts w:ascii="Arial" w:hAnsi="Arial" w:cs="Arial"/>
          <w:sz w:val="24"/>
          <w:szCs w:val="24"/>
          <w:lang w:val="es-MX"/>
        </w:rPr>
        <w:t xml:space="preserve">. El cambio de </w:t>
      </w:r>
      <w:r w:rsidRPr="00F64E2A">
        <w:rPr>
          <w:rFonts w:ascii="Arial" w:hAnsi="Arial" w:cs="Arial"/>
          <w:sz w:val="24"/>
          <w:szCs w:val="24"/>
          <w:lang w:val="es-MX"/>
        </w:rPr>
        <w:lastRenderedPageBreak/>
        <w:t xml:space="preserve">uso de suelo, la modificación de cobertura natural para la construcción y amplificación de las zonas urbanas constituyen las pautas por las que el incendio forestal está presente </w:t>
      </w:r>
      <w:r w:rsidRPr="00F64E2A">
        <w:rPr>
          <w:rFonts w:ascii="Arial" w:hAnsi="Arial" w:cs="Arial"/>
          <w:sz w:val="24"/>
          <w:szCs w:val="24"/>
          <w:lang w:val="es-MX"/>
        </w:rPr>
        <w:fldChar w:fldCharType="begin"/>
      </w:r>
      <w:r w:rsidRPr="00F64E2A">
        <w:rPr>
          <w:rFonts w:ascii="Arial" w:hAnsi="Arial" w:cs="Arial"/>
          <w:sz w:val="24"/>
          <w:szCs w:val="24"/>
          <w:lang w:val="es-MX"/>
        </w:rPr>
        <w:instrText xml:space="preserve"> ADDIN ZOTERO_ITEM CSL_CITATION {"citationID":"XIBvpb2V","properties":{"formattedCitation":"(Gerritsen, Lomel\\uc0\\u237{} Jim\\uc0\\u233{}nez, &amp; Ortiz Arrona, 2005)","plainCitation":"(Gerritsen, Lomelí Jiménez, &amp; Ortiz Arrona, 2005)","noteIndex":0},"citationItems":[{"id":380,"uris":["http://zotero.org/users/local/rDounJIe/items/ZEVBLJHC"],"uri":["http://zotero.org/users/local/rDounJIe/items/ZEVBLJHC"],"itemData":{"id":380,"type":"article-journal","title":"Urbanización y problemática socioambiental en la costa sur de Jalisco, México: Una aproximación","container-title":"Región y sociedad","page":"107-132","volume":"17","issue":"33","source":"SciELO","ISSN":"1870-3925","shortTitle":"Urbanización y problemática socioambiental en la costa sur de Jalisco, México","author":[{"family":"Gerritsen","given":"Peter R. W."},{"family":"Lomelí Jiménez","given":"Alma"},{"family":"Ortiz Arrona","given":"Claudia"}],"issued":{"date-parts":[["2005"]]}}}],"schema":"https://github.com/citation-style-language/schema/raw/master/csl-citation.json"} </w:instrText>
      </w:r>
      <w:r w:rsidRPr="00F64E2A">
        <w:rPr>
          <w:rFonts w:ascii="Arial" w:hAnsi="Arial" w:cs="Arial"/>
          <w:sz w:val="24"/>
          <w:szCs w:val="24"/>
          <w:lang w:val="es-MX"/>
        </w:rPr>
        <w:fldChar w:fldCharType="separate"/>
      </w:r>
      <w:r w:rsidRPr="00F64E2A">
        <w:rPr>
          <w:rFonts w:ascii="Arial" w:hAnsi="Arial" w:cs="Arial"/>
          <w:sz w:val="24"/>
          <w:szCs w:val="24"/>
        </w:rPr>
        <w:t>(Gerritsen, Lomelí Jiménez, &amp; Ortiz Arrona, 2005)</w:t>
      </w:r>
      <w:r w:rsidRPr="00F64E2A">
        <w:rPr>
          <w:rFonts w:ascii="Arial" w:hAnsi="Arial" w:cs="Arial"/>
          <w:sz w:val="24"/>
          <w:szCs w:val="24"/>
          <w:lang w:val="es-MX"/>
        </w:rPr>
        <w:fldChar w:fldCharType="end"/>
      </w:r>
      <w:r w:rsidRPr="00F64E2A">
        <w:rPr>
          <w:rFonts w:ascii="Arial" w:hAnsi="Arial" w:cs="Arial"/>
          <w:sz w:val="24"/>
          <w:szCs w:val="24"/>
          <w:lang w:val="es-MX"/>
        </w:rPr>
        <w:t>.</w:t>
      </w:r>
    </w:p>
    <w:p w14:paraId="6F79BF59" w14:textId="77777777" w:rsidR="00F64E2A" w:rsidRPr="00F64E2A" w:rsidRDefault="00F64E2A" w:rsidP="00F64E2A">
      <w:pPr>
        <w:spacing w:line="360" w:lineRule="auto"/>
        <w:jc w:val="both"/>
        <w:rPr>
          <w:rFonts w:ascii="Arial" w:hAnsi="Arial" w:cs="Arial"/>
          <w:sz w:val="24"/>
          <w:szCs w:val="24"/>
          <w:lang w:val="es-MX"/>
        </w:rPr>
      </w:pPr>
      <w:r w:rsidRPr="00F64E2A">
        <w:rPr>
          <w:rFonts w:ascii="Arial" w:hAnsi="Arial" w:cs="Arial"/>
          <w:sz w:val="24"/>
          <w:szCs w:val="24"/>
          <w:lang w:val="es-MX"/>
        </w:rPr>
        <w:t xml:space="preserve">Los estudios y análisis para la detección y monitoreo de incendios forestales en la región de Jalisco, pone en manifiesto la importancia de dicho fenómeno </w:t>
      </w:r>
      <w:r w:rsidRPr="00F64E2A">
        <w:rPr>
          <w:rFonts w:ascii="Arial" w:hAnsi="Arial" w:cs="Arial"/>
          <w:sz w:val="24"/>
          <w:szCs w:val="24"/>
          <w:lang w:val="es-MX"/>
        </w:rPr>
        <w:fldChar w:fldCharType="begin"/>
      </w:r>
      <w:r w:rsidRPr="00F64E2A">
        <w:rPr>
          <w:rFonts w:ascii="Arial" w:hAnsi="Arial" w:cs="Arial"/>
          <w:sz w:val="24"/>
          <w:szCs w:val="24"/>
          <w:lang w:val="es-MX"/>
        </w:rPr>
        <w:instrText xml:space="preserve"> ADDIN ZOTERO_ITEM CSL_CITATION {"citationID":"zPJEBMXG","properties":{"formattedCitation":"(Casta\\uc0\\u241{}eda, Gallegos, S\\uc0\\u225{}nchez, &amp; Dom\\uc0\\u237{}nguez, 2012)","plainCitation":"(Castañeda, Gallegos, Sánchez, &amp; Domínguez, 2012)","noteIndex":0},"citationItems":[{"id":384,"uris":["http://zotero.org/users/local/rDounJIe/items/ULRCHV6I"],"uri":["http://zotero.org/users/local/rDounJIe/items/ULRCHV6I"],"itemData":{"id":384,"type":"article-journal","title":"Biomasa aérea y posibles emisiones de co² después de un incendio; caso del bosque “La Primavera”, Jalisco, México","container-title":"Ra Ximhai","page":"1-16","source":"DOI.org (Crossref)","abstract":"The Area of protection of Flora and Fauna “La Primavera” (APFFLP) is one of the more important protected areas in the western of the Country, and constantly suffers large damage caused by fire, such as the one happened in 2005 when approximately 11,439 ha were affected, equivalent to 37.5% of the total area. This study was conducted in an area affected by fire, where the main goals were: to estimate the timber volume, biomass, carbon and CO2 of Pinus oocarpa and Quercus spp species, which have a larger significant value in the ecology of the area. A network of 56 sampling sites was measured; these were 500 m2 circular sites (radius 12.61 m), spaced every 100 m. At each site, just dead trees (either cut or standing) with at least 7 cm of diameter at breast height (DBH) were measured, taking the basal area as the main parameter. From the data, allometric models were generated to estimate the volume, depending on the measurement of DBH. The determination coefficient R2 for Pinus oocarpa was 0.87995 being the exponential regression model the one with the best fit; The valuation of the biomass was 40,43 T/ha, that multiplied by the fraction of the carbon recommended for the species studied in this region is equivalent to 20,2 T/ha, giving a value of 74,1 T/ha of CO2. In the case of Quercus spp it showed a R2 of 0.87571, being the linear regression model the best adjusted, with an average of 26.5 T/ha of biomass, meaning a carbon estimation of 13.24 T/ha equivalent to a total of 48.62 T/ha of CO2 if it were emitted into the atmosphere.","DOI":"10.35197/rx.08.03.e1.2012.01.jc","ISSN":"1665-0441","journalAbbreviation":"Ra Ximhai","language":"es","author":[{"family":"Castañeda","given":"Juan Carlos"},{"family":"Gallegos","given":"Agustín"},{"family":"Sánchez","given":"Magaly"},{"family":"Domínguez","given":"Pedro Antonio"}],"issued":{"date-parts":[["2012"]]}}}],"schema":"https://github.com/citation-style-language/schema/raw/master/csl-citation.json"} </w:instrText>
      </w:r>
      <w:r w:rsidRPr="00F64E2A">
        <w:rPr>
          <w:rFonts w:ascii="Arial" w:hAnsi="Arial" w:cs="Arial"/>
          <w:sz w:val="24"/>
          <w:szCs w:val="24"/>
          <w:lang w:val="es-MX"/>
        </w:rPr>
        <w:fldChar w:fldCharType="separate"/>
      </w:r>
      <w:r w:rsidRPr="00F64E2A">
        <w:rPr>
          <w:rFonts w:ascii="Arial" w:hAnsi="Arial" w:cs="Arial"/>
          <w:sz w:val="24"/>
          <w:szCs w:val="24"/>
        </w:rPr>
        <w:t>(Castañeda, Gallegos, Sánchez, &amp; Domínguez, 2012)</w:t>
      </w:r>
      <w:r w:rsidRPr="00F64E2A">
        <w:rPr>
          <w:rFonts w:ascii="Arial" w:hAnsi="Arial" w:cs="Arial"/>
          <w:sz w:val="24"/>
          <w:szCs w:val="24"/>
          <w:lang w:val="es-MX"/>
        </w:rPr>
        <w:fldChar w:fldCharType="end"/>
      </w:r>
      <w:r w:rsidRPr="00F64E2A">
        <w:rPr>
          <w:rFonts w:ascii="Arial" w:hAnsi="Arial" w:cs="Arial"/>
          <w:sz w:val="24"/>
          <w:szCs w:val="24"/>
          <w:lang w:val="es-MX"/>
        </w:rPr>
        <w:t xml:space="preserve">, ya que solo en 2016 se registraron 8,219 incendios forestales afectando un total de 272,441 ha de vegetación herbácea y arbustiva </w:t>
      </w:r>
      <w:r w:rsidRPr="00F64E2A">
        <w:rPr>
          <w:rFonts w:ascii="Arial" w:hAnsi="Arial" w:cs="Arial"/>
          <w:sz w:val="24"/>
          <w:szCs w:val="24"/>
          <w:lang w:val="es-MX"/>
        </w:rPr>
        <w:fldChar w:fldCharType="begin"/>
      </w:r>
      <w:r w:rsidRPr="00F64E2A">
        <w:rPr>
          <w:rFonts w:ascii="Arial" w:hAnsi="Arial" w:cs="Arial"/>
          <w:sz w:val="24"/>
          <w:szCs w:val="24"/>
          <w:lang w:val="es-MX"/>
        </w:rPr>
        <w:instrText xml:space="preserve"> ADDIN ZOTERO_ITEM CSL_CITATION {"citationID":"pF9XGx03","properties":{"formattedCitation":"(CONAFOR, 2016)","plainCitation":"(CONAFOR, 2016)","noteIndex":0},"citationItems":[{"id":385,"uris":["http://zotero.org/users/local/rDounJIe/items/RYTDA7XN"],"uri":["http://zotero.org/users/local/rDounJIe/items/RYTDA7XN"],"itemData":{"id":385,"type":"webpage","title":"Incendios forestales.","container-title":"Incendios Forestales","genre":"Informativa","abstract":"Serie histórica anual de incendios del periodo 2010 al 2017.","URL":"https://datos.gob.mx/busca/dataset/incendios-forestales","language":"es","author":[{"family":"CONAFOR","given":""}],"issued":{"date-parts":[["2016"]]},"accessed":{"date-parts":[["2019",7,10]]}}}],"schema":"https://github.com/citation-style-language/schema/raw/master/csl-citation.json"} </w:instrText>
      </w:r>
      <w:r w:rsidRPr="00F64E2A">
        <w:rPr>
          <w:rFonts w:ascii="Arial" w:hAnsi="Arial" w:cs="Arial"/>
          <w:sz w:val="24"/>
          <w:szCs w:val="24"/>
          <w:lang w:val="es-MX"/>
        </w:rPr>
        <w:fldChar w:fldCharType="separate"/>
      </w:r>
      <w:r w:rsidRPr="00F64E2A">
        <w:rPr>
          <w:rFonts w:ascii="Arial" w:hAnsi="Arial" w:cs="Arial"/>
          <w:sz w:val="24"/>
        </w:rPr>
        <w:t>(CONAFOR, 2016)</w:t>
      </w:r>
      <w:r w:rsidRPr="00F64E2A">
        <w:rPr>
          <w:rFonts w:ascii="Arial" w:hAnsi="Arial" w:cs="Arial"/>
          <w:sz w:val="24"/>
          <w:szCs w:val="24"/>
          <w:lang w:val="es-MX"/>
        </w:rPr>
        <w:fldChar w:fldCharType="end"/>
      </w:r>
      <w:r w:rsidRPr="00F64E2A">
        <w:rPr>
          <w:rFonts w:ascii="Arial" w:hAnsi="Arial" w:cs="Arial"/>
          <w:sz w:val="24"/>
          <w:szCs w:val="24"/>
          <w:lang w:val="es-MX"/>
        </w:rPr>
        <w:t xml:space="preserve">, es por ello, por lo que el generar un análisis espacio - temporal de la ocurrencia de incendios forestales constituye un insumo fundamental para la toma de decisiones a corto, medianos y largo plazo </w:t>
      </w:r>
      <w:r w:rsidRPr="00F64E2A">
        <w:rPr>
          <w:rFonts w:ascii="Arial" w:hAnsi="Arial" w:cs="Arial"/>
          <w:sz w:val="24"/>
          <w:szCs w:val="24"/>
          <w:lang w:val="es-MX"/>
        </w:rPr>
        <w:fldChar w:fldCharType="begin"/>
      </w:r>
      <w:r w:rsidRPr="00F64E2A">
        <w:rPr>
          <w:rFonts w:ascii="Arial" w:hAnsi="Arial" w:cs="Arial"/>
          <w:sz w:val="24"/>
          <w:szCs w:val="24"/>
          <w:lang w:val="es-MX"/>
        </w:rPr>
        <w:instrText xml:space="preserve"> ADDIN ZOTERO_ITEM CSL_CITATION {"citationID":"DtmcQnQi","properties":{"formattedCitation":"(Pompa &amp; Hern\\uc0\\u225{}ndez, 2012)","plainCitation":"(Pompa &amp; Hernández, 2012)","noteIndex":0},"citationItems":[{"id":387,"uris":["http://zotero.org/users/local/rDounJIe/items/TA7P2FQ5"],"uri":["http://zotero.org/users/local/rDounJIe/items/TA7P2FQ5"],"itemData":{"id":387,"type":"article-journal","title":"Determinación de la tendencia espacial de los puntos de calor como estrategia para monitorear los incendios forestales en Durango, México","container-title":"Bosque (Valdivia)","page":"63-68","volume":"33","issue":"1","source":"SciELO","DOI":"10.4067/S0717-92002012000100007","ISSN":"0717-9200","author":[{"family":"Pompa","given":"Marín"},{"family":"Hernández","given":"Paulino"}],"issued":{"date-parts":[["2012"]]}}}],"schema":"https://github.com/citation-style-language/schema/raw/master/csl-citation.json"} </w:instrText>
      </w:r>
      <w:r w:rsidRPr="00F64E2A">
        <w:rPr>
          <w:rFonts w:ascii="Arial" w:hAnsi="Arial" w:cs="Arial"/>
          <w:sz w:val="24"/>
          <w:szCs w:val="24"/>
          <w:lang w:val="es-MX"/>
        </w:rPr>
        <w:fldChar w:fldCharType="separate"/>
      </w:r>
      <w:r w:rsidRPr="00F64E2A">
        <w:rPr>
          <w:rFonts w:ascii="Arial" w:hAnsi="Arial" w:cs="Arial"/>
          <w:sz w:val="24"/>
          <w:szCs w:val="24"/>
        </w:rPr>
        <w:t>(Pompa &amp; Hernández, 2012)</w:t>
      </w:r>
      <w:r w:rsidRPr="00F64E2A">
        <w:rPr>
          <w:rFonts w:ascii="Arial" w:hAnsi="Arial" w:cs="Arial"/>
          <w:sz w:val="24"/>
          <w:szCs w:val="24"/>
          <w:lang w:val="es-MX"/>
        </w:rPr>
        <w:fldChar w:fldCharType="end"/>
      </w:r>
      <w:r w:rsidRPr="00F64E2A">
        <w:rPr>
          <w:rFonts w:ascii="Arial" w:hAnsi="Arial" w:cs="Arial"/>
          <w:sz w:val="24"/>
          <w:szCs w:val="24"/>
          <w:lang w:val="es-MX"/>
        </w:rPr>
        <w:t xml:space="preserve">. </w:t>
      </w:r>
    </w:p>
    <w:p w14:paraId="2CAEB471" w14:textId="77777777" w:rsidR="00F64E2A" w:rsidRPr="00F64E2A" w:rsidRDefault="00F64E2A" w:rsidP="00F64E2A">
      <w:pPr>
        <w:spacing w:line="360" w:lineRule="auto"/>
        <w:jc w:val="both"/>
        <w:rPr>
          <w:rFonts w:ascii="Arial" w:hAnsi="Arial" w:cs="Arial"/>
          <w:sz w:val="24"/>
          <w:szCs w:val="24"/>
          <w:lang w:val="es-MX"/>
        </w:rPr>
      </w:pPr>
      <w:r w:rsidRPr="00F64E2A">
        <w:rPr>
          <w:rFonts w:ascii="Arial" w:hAnsi="Arial" w:cs="Arial"/>
          <w:sz w:val="24"/>
          <w:szCs w:val="24"/>
          <w:lang w:val="es-MX"/>
        </w:rPr>
        <w:t xml:space="preserve">En la actualidad existen una serie de plataformas que ayudan a la visualización y acceso a datos abiertos sobre incendios forestales y puntos de calor detectados en la superficie terrestre, tal es el caso de la plataforma de “Sistema de Alerta Temprana de Incendios Forestales” generada y actualizada por la CONABIO </w:t>
      </w:r>
      <w:r w:rsidRPr="00F64E2A">
        <w:rPr>
          <w:rFonts w:ascii="Arial" w:hAnsi="Arial" w:cs="Arial"/>
          <w:sz w:val="24"/>
          <w:szCs w:val="24"/>
          <w:lang w:val="es-MX"/>
        </w:rPr>
        <w:fldChar w:fldCharType="begin"/>
      </w:r>
      <w:r w:rsidRPr="00F64E2A">
        <w:rPr>
          <w:rFonts w:ascii="Arial" w:hAnsi="Arial" w:cs="Arial"/>
          <w:sz w:val="24"/>
          <w:szCs w:val="24"/>
          <w:lang w:val="es-MX"/>
        </w:rPr>
        <w:instrText xml:space="preserve"> ADDIN ZOTERO_ITEM CSL_CITATION {"citationID":"jeh6f0eM","properties":{"formattedCitation":"(Comisi\\uc0\\u243{}n Nacional para el Conocimiento y Uso de la Biodiversidad, 2006)","plainCitation":"(Comisión Nacional para el Conocimiento y Uso de la Biodiversidad, 2006)","noteIndex":0},"citationItems":[{"id":391,"uris":["http://zotero.org/users/local/rDounJIe/items/XLUA5TMG"],"uri":["http://zotero.org/users/local/rDounJIe/items/XLUA5TMG"],"itemData":{"id":391,"type":"webpage","title":"Sistema de Alerta Temprana de Incendios","container-title":"Puntos de calor detectados con imágenes de satélite.","genre":"Consulta","abstract":"Plataforma para sistema de alerta temprana de incendios forestales.","URL":"http://incendios.conabio.gob.mx/","author":[{"family":"Comisión Nacional para el Conocimiento y Uso de la Biodiversidad","given":""}],"issued":{"date-parts":[["2006"]]},"accessed":{"date-parts":[["2019",7,11]]}}}],"schema":"https://github.com/citation-style-language/schema/raw/master/csl-citation.json"} </w:instrText>
      </w:r>
      <w:r w:rsidRPr="00F64E2A">
        <w:rPr>
          <w:rFonts w:ascii="Arial" w:hAnsi="Arial" w:cs="Arial"/>
          <w:sz w:val="24"/>
          <w:szCs w:val="24"/>
          <w:lang w:val="es-MX"/>
        </w:rPr>
        <w:fldChar w:fldCharType="separate"/>
      </w:r>
      <w:r w:rsidRPr="00F64E2A">
        <w:rPr>
          <w:rFonts w:ascii="Arial" w:hAnsi="Arial" w:cs="Arial"/>
          <w:sz w:val="24"/>
          <w:szCs w:val="24"/>
        </w:rPr>
        <w:t>(Comisión Nacional para el Conocimiento y Uso de la Biodiversidad, 2006)</w:t>
      </w:r>
      <w:r w:rsidRPr="00F64E2A">
        <w:rPr>
          <w:rFonts w:ascii="Arial" w:hAnsi="Arial" w:cs="Arial"/>
          <w:sz w:val="24"/>
          <w:szCs w:val="24"/>
          <w:lang w:val="es-MX"/>
        </w:rPr>
        <w:fldChar w:fldCharType="end"/>
      </w:r>
      <w:r w:rsidRPr="00F64E2A">
        <w:rPr>
          <w:rFonts w:ascii="Arial" w:hAnsi="Arial" w:cs="Arial"/>
          <w:sz w:val="24"/>
          <w:szCs w:val="24"/>
          <w:lang w:val="es-MX"/>
        </w:rPr>
        <w:t xml:space="preserve">, dichos puntos ayudan al conocimiento temprano de las condiciones extremas de peligro de incendios en el futuro. Aunado a esto, los Sistemas de Información Geográfica se han posicionado como una herramienta clave para el monitoreo, análisis y relación geográfica de incendios forestales </w:t>
      </w:r>
      <w:r w:rsidRPr="00F64E2A">
        <w:rPr>
          <w:rFonts w:ascii="Arial" w:hAnsi="Arial" w:cs="Arial"/>
          <w:sz w:val="24"/>
          <w:szCs w:val="24"/>
          <w:lang w:val="es-MX"/>
        </w:rPr>
        <w:fldChar w:fldCharType="begin"/>
      </w:r>
      <w:r w:rsidRPr="00F64E2A">
        <w:rPr>
          <w:rFonts w:ascii="Arial" w:hAnsi="Arial" w:cs="Arial"/>
          <w:sz w:val="24"/>
          <w:szCs w:val="24"/>
          <w:lang w:val="es-MX"/>
        </w:rPr>
        <w:instrText xml:space="preserve"> ADDIN ZOTERO_ITEM CSL_CITATION {"citationID":"MBqksWZw","properties":{"formattedCitation":"(Carrillo, Rodr\\uc0\\u237{}guez, Tchikou\\uc0\\u233{}, Monterroso, &amp; Santillan, 2012)","plainCitation":"(Carrillo, Rodríguez, Tchikoué, Monterroso, &amp; Santillan, 2012)","noteIndex":0},"citationItems":[{"id":398,"uris":["http://zotero.org/users/local/rDounJIe/items/DK5ZEP5P"],"uri":["http://zotero.org/users/local/rDounJIe/items/DK5ZEP5P"],"itemData":{"id":398,"type":"article-magazine","title":"Análisis espacial de peligro de incendios forestales en Puebla, México.","container-title":"Interciencia","page":"678-683","volume":"37","issue":"9","abstract":"La gran mayoría de los incendios ocurridos en el mundo son\nde origen antrópico, provocados principalmente por actividades de\ncambio de uso del suelo. Se ha indagado poco al respecto y los\nestudios poco contemplan directamente la influencia del ser humano como variable de peso. Por ello, se propuso demostrar que los\nincendios forestales están relacionados con la influencia humana\ny las condiciones ambientales, y que lo anterior se puede plasmar\nen un índice de peligro de incendios forestales, considerando también la distribución espacial de los incendios forestales en el estado de Puebla, México. Se requirió de información en bases de\ndatos y cartográfica, procesándose en un sistema de información\ngeográfica. Se llevó a cabo un muestreo sistemático con unidades\nde 10×10km. Posteriormente se evaluó y construyó un modelo de\nregresión logística donde las variables significativas fueron: precipitación media anual, exposición del terreno y número de ramales de vías de comunicación, todas con correlación positiva, y\nnúmero de comunidades rurales con correlación negativa. El mayor peligro de incendio para el estado de Puebla se distribuye en\ntres zonas: la Sierra Norte de Puebla, el poniente colindando con\nTlaxcala, y el sureste colindando con Veracruz, registrándose en\nesas zonas mayores precipitaciones, mayor número de ramales y\nmenor número de comunidades. Este estudio puede contribuir a la\nplaneación de estrategias de manejo del fuego en el estado.","ISSN":"0378-1844","shortTitle":"Incendios forestales Puebla, México","language":"es","author":[{"family":"Carrillo","given":"Rosa"},{"family":"Rodríguez","given":"Dante"},{"family":"Tchikoué","given":"Hubert"},{"family":"Monterroso","given":"Alejandro"},{"family":"Santillan","given":"Javier"}],"issued":{"date-parts":[["2012"]]}}}],"schema":"https://github.com/citation-style-language/schema/raw/master/csl-citation.json"} </w:instrText>
      </w:r>
      <w:r w:rsidRPr="00F64E2A">
        <w:rPr>
          <w:rFonts w:ascii="Arial" w:hAnsi="Arial" w:cs="Arial"/>
          <w:sz w:val="24"/>
          <w:szCs w:val="24"/>
          <w:lang w:val="es-MX"/>
        </w:rPr>
        <w:fldChar w:fldCharType="separate"/>
      </w:r>
      <w:r w:rsidRPr="00F64E2A">
        <w:rPr>
          <w:rFonts w:ascii="Arial" w:hAnsi="Arial" w:cs="Arial"/>
          <w:sz w:val="24"/>
          <w:szCs w:val="24"/>
        </w:rPr>
        <w:t>(Carrillo, Rodríguez, Tchikoué, Monterroso, &amp; Santillan, 2012)</w:t>
      </w:r>
      <w:r w:rsidRPr="00F64E2A">
        <w:rPr>
          <w:rFonts w:ascii="Arial" w:hAnsi="Arial" w:cs="Arial"/>
          <w:sz w:val="24"/>
          <w:szCs w:val="24"/>
          <w:lang w:val="es-MX"/>
        </w:rPr>
        <w:fldChar w:fldCharType="end"/>
      </w:r>
      <w:r w:rsidRPr="00F64E2A">
        <w:rPr>
          <w:rFonts w:ascii="Arial" w:hAnsi="Arial" w:cs="Arial"/>
          <w:sz w:val="24"/>
          <w:szCs w:val="24"/>
          <w:lang w:val="es-MX"/>
        </w:rPr>
        <w:t xml:space="preserve">. Cabe destacar que este tipo de herramienta permite mantener una alerta, un monitoreo y el análisis del impacto de un incendio forestal </w:t>
      </w:r>
      <w:r w:rsidRPr="00F64E2A">
        <w:rPr>
          <w:rFonts w:ascii="Arial" w:hAnsi="Arial" w:cs="Arial"/>
          <w:sz w:val="24"/>
          <w:szCs w:val="24"/>
          <w:lang w:val="es-MX"/>
        </w:rPr>
        <w:fldChar w:fldCharType="begin"/>
      </w:r>
      <w:r w:rsidRPr="00F64E2A">
        <w:rPr>
          <w:rFonts w:ascii="Arial" w:hAnsi="Arial" w:cs="Arial"/>
          <w:sz w:val="24"/>
          <w:szCs w:val="24"/>
          <w:lang w:val="es-MX"/>
        </w:rPr>
        <w:instrText xml:space="preserve"> ADDIN ZOTERO_ITEM CSL_CITATION {"citationID":"VpdFMfg2","properties":{"formattedCitation":"(Alan\\uc0\\u237{}s et\\uc0\\u160{}al., 2016)","plainCitation":"(Alanís et al., 2016)","noteIndex":0},"citationItems":[{"id":405,"uris":["http://zotero.org/users/local/rDounJIe/items/UAXYGC6H"],"uri":["http://zotero.org/users/local/rDounJIe/items/UAXYGC6H"],"itemData":{"id":405,"type":"article-journal","title":"Efecto de la restauración ecológica post-incendio en la diversidad arbórea del Parque Ecológico Chipinque, México","container-title":"Madera y Bosques","page":"39","volume":"16","issue":"4","source":"DOI.org (Crossref)","abstract":"Los bosques templados del Parque Ecológico Chipinque (PECh) son de gran importancia debido a los servicios ambientales que proveen al Área Metropolitana de Monterrey. En el año de 1998 se suscitó un incendio forestal que afectó una tercera parte del PECh. En el área post-incendio se realizó un programa de restauración ecológica. En el año 2008 (10 años después) se realizó un análisis comparativo de la diversidad del elemento arbóreo del área restaurada y otra regenerada naturalmente. El objetivo fue determinar si existen diferencias estadísticas en la diversidad arbórea ( número, densidad de especies y estructura vertical y horizontal) entre las dos áreas. Mediante una curva especies-superficie se determinó el establecimiento de cuatro unidades de muestreo de 100 m2 en cada área. Se registraron ocho familias, 10 géneros y 14 especies. El género con mayor presencia en ambas áreas fue Quercus. El área restaurada presentó como segunda especie más importante a Pinus pseudostrobus. De acuerdo al análisis vertical del estrato arbóreo se determinó que ambas áreas son multicohortales. Referente a la diversidad ß las áreas evaluadas presentaron una similitud media-alta. El área restaurada y regenerada no presentaron diferencias estadísticas significativas en la diversidad-abundancia (t= 0,55, g.l.=1269,63, p&lt;0,05), abundancia (t=0,16) y dominancia (t=0,26). Con esta investigación se generó información cuantitativa que indica que las prácticas silvícolas empleadas para la restauración ecológica incrementaron la densidad de P. pseudostrobus, sin alterar la diversidad, abundancia y dominancia del elemento arbóreo.","DOI":"10.21829/myb.2010.1641159","ISSN":"2448-7597, 1405-0471","journalAbbreviation":"MYB","language":"es","author":[{"family":"Alanís","given":"Eduardo"},{"family":"Jiménez","given":"Javier"},{"family":"Pando","given":"Marisela"},{"family":"Aguirre","given":"Óscar A."},{"family":"Treviño","given":"Eduardo J."},{"family":"García","given":"Perla C."}],"issued":{"date-parts":[["2016"]]}}}],"schema":"https://github.com/citation-style-language/schema/raw/master/csl-citation.json"} </w:instrText>
      </w:r>
      <w:r w:rsidRPr="00F64E2A">
        <w:rPr>
          <w:rFonts w:ascii="Arial" w:hAnsi="Arial" w:cs="Arial"/>
          <w:sz w:val="24"/>
          <w:szCs w:val="24"/>
          <w:lang w:val="es-MX"/>
        </w:rPr>
        <w:fldChar w:fldCharType="separate"/>
      </w:r>
      <w:r w:rsidRPr="00F64E2A">
        <w:rPr>
          <w:rFonts w:ascii="Arial" w:hAnsi="Arial" w:cs="Arial"/>
          <w:sz w:val="24"/>
          <w:szCs w:val="24"/>
        </w:rPr>
        <w:t>(Alanís et al., 2016)</w:t>
      </w:r>
      <w:r w:rsidRPr="00F64E2A">
        <w:rPr>
          <w:rFonts w:ascii="Arial" w:hAnsi="Arial" w:cs="Arial"/>
          <w:sz w:val="24"/>
          <w:szCs w:val="24"/>
          <w:lang w:val="es-MX"/>
        </w:rPr>
        <w:fldChar w:fldCharType="end"/>
      </w:r>
      <w:r w:rsidRPr="00F64E2A">
        <w:rPr>
          <w:rFonts w:ascii="Arial" w:hAnsi="Arial" w:cs="Arial"/>
          <w:sz w:val="24"/>
          <w:szCs w:val="24"/>
          <w:lang w:val="es-MX"/>
        </w:rPr>
        <w:t xml:space="preserve">, por lo que el posicionar este tipo de avance tecnológico en la evaluación de dicho fenómeno, es indispensable para la toma de decisiones </w:t>
      </w:r>
      <w:r w:rsidRPr="00F64E2A">
        <w:rPr>
          <w:rFonts w:ascii="Arial" w:hAnsi="Arial" w:cs="Arial"/>
          <w:sz w:val="24"/>
          <w:szCs w:val="24"/>
          <w:lang w:val="es-MX"/>
        </w:rPr>
        <w:fldChar w:fldCharType="begin"/>
      </w:r>
      <w:r w:rsidRPr="00F64E2A">
        <w:rPr>
          <w:rFonts w:ascii="Arial" w:hAnsi="Arial" w:cs="Arial"/>
          <w:sz w:val="24"/>
          <w:szCs w:val="24"/>
          <w:lang w:val="es-MX"/>
        </w:rPr>
        <w:instrText xml:space="preserve"> ADDIN ZOTERO_ITEM CSL_CITATION {"citationID":"9ijNNhYD","properties":{"formattedCitation":"(Manso &amp; Ta\\uc0\\u237{}n, 1999)","plainCitation":"(Manso &amp; Taín, 1999)","noteIndex":0},"citationItems":[{"id":411,"uris":["http://zotero.org/users/local/rDounJIe/items/P67TU3B8"],"uri":["http://zotero.org/users/local/rDounJIe/items/P67TU3B8"],"itemData":{"id":411,"type":"paper-conference","title":"Georreferenciación y cuantificación de incendios forestales en Galicia.","container-title":"Avances y aplicaciones","publisher":"Teledetección","publisher-place":"Albacete, España","page":"259-262","source":"Zotero","event":"VIII Congreso Nacional de Teledetección","event-place":"Albacete, España","abstract":"The aim of this work is the realization of annual cartogrphy of surfaces affected by forest fires in Galicia and later integration in a Geographic Information System Management in The Direccion Xeral de Montes e Medio Ambiente Natural.","URL":"http://www.aet.org.es/congresos/viii/alb62.pdf","language":"es","author":[{"family":"Manso","given":"M Díaz"},{"family":"Taín","given":"X Dorrego"}],"issued":{"date-parts":[["1999"]]}}}],"schema":"https://github.com/citation-style-language/schema/raw/master/csl-citation.json"} </w:instrText>
      </w:r>
      <w:r w:rsidRPr="00F64E2A">
        <w:rPr>
          <w:rFonts w:ascii="Arial" w:hAnsi="Arial" w:cs="Arial"/>
          <w:sz w:val="24"/>
          <w:szCs w:val="24"/>
          <w:lang w:val="es-MX"/>
        </w:rPr>
        <w:fldChar w:fldCharType="separate"/>
      </w:r>
      <w:r w:rsidRPr="00F64E2A">
        <w:rPr>
          <w:rFonts w:ascii="Arial" w:hAnsi="Arial" w:cs="Arial"/>
          <w:sz w:val="24"/>
          <w:szCs w:val="24"/>
        </w:rPr>
        <w:t>(Manso &amp; Taín, 1999)</w:t>
      </w:r>
      <w:r w:rsidRPr="00F64E2A">
        <w:rPr>
          <w:rFonts w:ascii="Arial" w:hAnsi="Arial" w:cs="Arial"/>
          <w:sz w:val="24"/>
          <w:szCs w:val="24"/>
          <w:lang w:val="es-MX"/>
        </w:rPr>
        <w:fldChar w:fldCharType="end"/>
      </w:r>
      <w:r w:rsidRPr="00F64E2A">
        <w:rPr>
          <w:rFonts w:ascii="Arial" w:hAnsi="Arial" w:cs="Arial"/>
          <w:sz w:val="24"/>
          <w:szCs w:val="24"/>
          <w:lang w:val="es-MX"/>
        </w:rPr>
        <w:t>.</w:t>
      </w:r>
    </w:p>
    <w:p w14:paraId="454D174F" w14:textId="77777777" w:rsidR="00F64E2A" w:rsidRPr="00F64E2A" w:rsidRDefault="00F64E2A" w:rsidP="00F64E2A">
      <w:pPr>
        <w:spacing w:line="360" w:lineRule="auto"/>
        <w:jc w:val="both"/>
        <w:rPr>
          <w:rFonts w:ascii="Arial" w:hAnsi="Arial" w:cs="Arial"/>
          <w:sz w:val="24"/>
          <w:szCs w:val="24"/>
          <w:lang w:val="es-MX"/>
        </w:rPr>
      </w:pPr>
      <w:r w:rsidRPr="00F64E2A">
        <w:rPr>
          <w:rFonts w:ascii="Arial" w:hAnsi="Arial" w:cs="Arial"/>
          <w:sz w:val="24"/>
          <w:szCs w:val="24"/>
          <w:lang w:val="es-MX"/>
        </w:rPr>
        <w:t xml:space="preserve">Los municipios de Cabo Corrientes, Tomatlán y La Huerta del Estado de Jalisco constituyen los tres municipios con más de 524 incendios forestales en 2018, con una superficie de afectación de 44,474 ha </w:t>
      </w:r>
      <w:r w:rsidRPr="00F64E2A">
        <w:rPr>
          <w:rFonts w:ascii="Arial" w:hAnsi="Arial" w:cs="Arial"/>
          <w:sz w:val="24"/>
          <w:szCs w:val="24"/>
          <w:lang w:val="es-MX"/>
        </w:rPr>
        <w:fldChar w:fldCharType="begin"/>
      </w:r>
      <w:r w:rsidRPr="00F64E2A">
        <w:rPr>
          <w:rFonts w:ascii="Arial" w:hAnsi="Arial" w:cs="Arial"/>
          <w:sz w:val="24"/>
          <w:szCs w:val="24"/>
          <w:lang w:val="es-MX"/>
        </w:rPr>
        <w:instrText xml:space="preserve"> ADDIN ZOTERO_ITEM CSL_CITATION {"citationID":"NH3oqDjT","properties":{"formattedCitation":"(CONAFOR, 2018)","plainCitation":"(CONAFOR, 2018)","noteIndex":0},"citationItems":[{"id":399,"uris":["http://zotero.org/users/local/rDounJIe/items/KI9HDRPD"],"uri":["http://zotero.org/users/local/rDounJIe/items/KI9HDRPD"],"itemData":{"id":399,"type":"webpage","title":"Reporte semanal de incendios forestales, 2018..","container-title":"Incendios Forestales, 2018","genre":"Informativa","abstract":"Programa de manejo del fuego. Centro Nacional del Manejo del Fuego.","URL":"https://datos.gob.mx/busca/dataset/incendios-forestales","language":"es","author":[{"family":"CONAFOR","given":""}],"issued":{"date-parts":[["2018"]]},"accessed":{"date-parts":[["2019",7,10]]}}}],"schema":"https://github.com/citation-style-language/schema/raw/master/csl-citation.json"} </w:instrText>
      </w:r>
      <w:r w:rsidRPr="00F64E2A">
        <w:rPr>
          <w:rFonts w:ascii="Arial" w:hAnsi="Arial" w:cs="Arial"/>
          <w:sz w:val="24"/>
          <w:szCs w:val="24"/>
          <w:lang w:val="es-MX"/>
        </w:rPr>
        <w:fldChar w:fldCharType="separate"/>
      </w:r>
      <w:r w:rsidRPr="00F64E2A">
        <w:rPr>
          <w:rFonts w:ascii="Arial" w:hAnsi="Arial" w:cs="Arial"/>
          <w:sz w:val="24"/>
        </w:rPr>
        <w:t>(CONAFOR, 2018)</w:t>
      </w:r>
      <w:r w:rsidRPr="00F64E2A">
        <w:rPr>
          <w:rFonts w:ascii="Arial" w:hAnsi="Arial" w:cs="Arial"/>
          <w:sz w:val="24"/>
          <w:szCs w:val="24"/>
          <w:lang w:val="es-MX"/>
        </w:rPr>
        <w:fldChar w:fldCharType="end"/>
      </w:r>
      <w:r w:rsidRPr="00F64E2A">
        <w:rPr>
          <w:rFonts w:ascii="Arial" w:hAnsi="Arial" w:cs="Arial"/>
          <w:sz w:val="24"/>
          <w:szCs w:val="24"/>
          <w:lang w:val="es-MX"/>
        </w:rPr>
        <w:t xml:space="preserve"> y la evaluación del cambio de cobertura y vegetación torna un papel importante, tanto para el desarrollo económico y social de la región, así como el recurso natural que se pierde a causa de un incendio forestal </w:t>
      </w:r>
      <w:r w:rsidRPr="00F64E2A">
        <w:rPr>
          <w:rFonts w:ascii="Arial" w:hAnsi="Arial" w:cs="Arial"/>
          <w:sz w:val="24"/>
          <w:szCs w:val="24"/>
          <w:lang w:val="es-MX"/>
        </w:rPr>
        <w:fldChar w:fldCharType="begin"/>
      </w:r>
      <w:r w:rsidRPr="00F64E2A">
        <w:rPr>
          <w:rFonts w:ascii="Arial" w:hAnsi="Arial" w:cs="Arial"/>
          <w:sz w:val="24"/>
          <w:szCs w:val="24"/>
          <w:lang w:val="es-MX"/>
        </w:rPr>
        <w:instrText xml:space="preserve"> ADDIN ZOTERO_ITEM CSL_CITATION {"citationID":"DOXxbygz","properties":{"formattedCitation":"(Huerta &amp; Ibarra, 2014)","plainCitation":"(Huerta &amp; Ibarra, 2014)","noteIndex":0},"citationItems":[{"id":402,"uris":["http://zotero.org/users/local/rDounJIe/items/PBN8GKYV"],"uri":["http://zotero.org/users/local/rDounJIe/items/PBN8GKYV"],"itemData":{"id":402,"type":"article-magazine","title":"Incendios en el bosque la primavera (Jalisco, México): un acercamiento a sus posibles causas y consecuencias.","container-title":"Ciencia UAT","page":"23-32","volume":"9","issue":"1","abstract":"The flora and fauna protection area La Primavera, located in Jalisco, Mexico, presents a forest fire rate which has varied between 0 and 60 incidents per year in the last fifteen years. However, it has no program for preventing and mitigating the effects, due to the lack of documented information on the possible causes and consequences, as well as the processes of change in the coverage. In this study, 12 maps were created about burned zones within La Primavera in a time period from 1998 to 2012; with the use of data from fire coverage and affected areas, and their manipulation through a Geographical Information System (GIS). The forest annual loss rate due to wildfires was 1.31 %. Maps showed that localities burned more often were: Los Chorros de Tala, La Lobera, Agua Dulce, La Primavera, Las Tinajas and El Tecuán. Whithin the main causes is the agronomic practice of burning sugarcane crops to increase performance during the harvest, which causes fires in nearby forest areas. Another cause of fires is the fuel accumulation, which combined with environmental conditions of extreme drought and high winds, cause large magnitude fires. Historical analysis of fire trends in the area during the studied time period showed an increase in the forest area loss due to fire. The generation of risk and prevention maps is necessary, as well as the promotion of the correct use of fire, and the establishment of mechanisms for decision making on land use.","ISSN":"2007-7858","shortTitle":"Wildfires at la primavera forest, Jalisco, Mexico","language":"es","author":[{"family":"Huerta","given":"Francisco"},{"family":"Ibarra","given":"José Luis"}],"issued":{"date-parts":[["2014"]]}}}],"schema":"https://github.com/citation-style-language/schema/raw/master/csl-citation.json"} </w:instrText>
      </w:r>
      <w:r w:rsidRPr="00F64E2A">
        <w:rPr>
          <w:rFonts w:ascii="Arial" w:hAnsi="Arial" w:cs="Arial"/>
          <w:sz w:val="24"/>
          <w:szCs w:val="24"/>
          <w:lang w:val="es-MX"/>
        </w:rPr>
        <w:fldChar w:fldCharType="separate"/>
      </w:r>
      <w:r w:rsidRPr="00F64E2A">
        <w:rPr>
          <w:rFonts w:ascii="Arial" w:hAnsi="Arial" w:cs="Arial"/>
          <w:sz w:val="24"/>
        </w:rPr>
        <w:t>(Huerta &amp; Ibarra, 2014)</w:t>
      </w:r>
      <w:r w:rsidRPr="00F64E2A">
        <w:rPr>
          <w:rFonts w:ascii="Arial" w:hAnsi="Arial" w:cs="Arial"/>
          <w:sz w:val="24"/>
          <w:szCs w:val="24"/>
          <w:lang w:val="es-MX"/>
        </w:rPr>
        <w:fldChar w:fldCharType="end"/>
      </w:r>
      <w:r w:rsidRPr="00F64E2A">
        <w:rPr>
          <w:rFonts w:ascii="Arial" w:hAnsi="Arial" w:cs="Arial"/>
          <w:sz w:val="24"/>
          <w:szCs w:val="24"/>
          <w:lang w:val="es-MX"/>
        </w:rPr>
        <w:t>.</w:t>
      </w:r>
    </w:p>
    <w:p w14:paraId="163A1CDD" w14:textId="62C1A0F1" w:rsidR="00F64E2A" w:rsidRPr="009A5CE8" w:rsidRDefault="009A5CE8" w:rsidP="004B6B9A">
      <w:pPr>
        <w:spacing w:line="360" w:lineRule="auto"/>
        <w:jc w:val="both"/>
        <w:rPr>
          <w:rFonts w:ascii="Arial" w:hAnsi="Arial" w:cs="Arial"/>
          <w:b/>
          <w:bCs/>
          <w:sz w:val="24"/>
          <w:szCs w:val="24"/>
        </w:rPr>
      </w:pPr>
      <w:r w:rsidRPr="009A5CE8">
        <w:rPr>
          <w:rFonts w:ascii="Arial" w:hAnsi="Arial" w:cs="Arial"/>
          <w:b/>
          <w:bCs/>
          <w:sz w:val="24"/>
          <w:szCs w:val="24"/>
        </w:rPr>
        <w:t>Desarrollo.</w:t>
      </w:r>
    </w:p>
    <w:p w14:paraId="394820C2" w14:textId="0343A29D" w:rsidR="009A5CE8" w:rsidRDefault="009A5CE8" w:rsidP="004B6B9A">
      <w:pPr>
        <w:spacing w:line="360" w:lineRule="auto"/>
        <w:jc w:val="both"/>
        <w:rPr>
          <w:rFonts w:ascii="Arial" w:hAnsi="Arial" w:cs="Arial"/>
          <w:sz w:val="24"/>
          <w:szCs w:val="24"/>
        </w:rPr>
      </w:pPr>
      <w:r>
        <w:rPr>
          <w:rFonts w:ascii="Arial" w:hAnsi="Arial" w:cs="Arial"/>
          <w:sz w:val="24"/>
          <w:szCs w:val="24"/>
        </w:rPr>
        <w:lastRenderedPageBreak/>
        <w:tab/>
        <w:t>Justificación.</w:t>
      </w:r>
    </w:p>
    <w:p w14:paraId="0621F82A" w14:textId="77777777" w:rsidR="009A5CE8" w:rsidRPr="009A5CE8" w:rsidRDefault="009A5CE8" w:rsidP="009A5CE8">
      <w:pPr>
        <w:spacing w:after="240" w:line="360" w:lineRule="auto"/>
        <w:jc w:val="both"/>
        <w:rPr>
          <w:rFonts w:ascii="Arial" w:hAnsi="Arial" w:cs="Arial"/>
          <w:sz w:val="24"/>
          <w:szCs w:val="24"/>
          <w:lang w:val="es-MX"/>
        </w:rPr>
      </w:pPr>
      <w:r w:rsidRPr="009A5CE8">
        <w:rPr>
          <w:rFonts w:ascii="Arial" w:hAnsi="Arial" w:cs="Arial"/>
          <w:sz w:val="24"/>
          <w:szCs w:val="24"/>
          <w:lang w:val="es-MX"/>
        </w:rPr>
        <w:t xml:space="preserve">La región Costa Alegre de Jalisco se ha destacado en los últimos 5 años por la aparición sucesiva de incendios forestales, por lo que la pérdida de vegetación, reservas naturales y biodiversidad se encuentra notablemente expuesta a una reducción considerable y alarmante </w:t>
      </w:r>
      <w:r w:rsidRPr="009A5CE8">
        <w:rPr>
          <w:rFonts w:ascii="Arial" w:hAnsi="Arial" w:cs="Arial"/>
          <w:sz w:val="24"/>
          <w:szCs w:val="24"/>
          <w:lang w:val="es-MX"/>
        </w:rPr>
        <w:fldChar w:fldCharType="begin"/>
      </w:r>
      <w:r w:rsidRPr="009A5CE8">
        <w:rPr>
          <w:rFonts w:ascii="Arial" w:hAnsi="Arial" w:cs="Arial"/>
          <w:sz w:val="24"/>
          <w:szCs w:val="24"/>
          <w:lang w:val="es-MX"/>
        </w:rPr>
        <w:instrText xml:space="preserve"> ADDIN ZOTERO_ITEM CSL_CITATION {"citationID":"LCbo7M1v","properties":{"formattedCitation":"(Indigo, 2019)","plainCitation":"(Indigo, 2019)","noteIndex":0},"citationItems":[{"id":413,"uris":["http://zotero.org/users/local/rDounJIe/items/2P6IFM58"],"uri":["http://zotero.org/users/local/rDounJIe/items/2P6IFM58"],"itemData":{"id":413,"type":"post-weblog","title":"Incendios forestales sacuden a Jalisco.","container-title":"Reporte Indigo","genre":"Informativa","abstract":"La depredación de los espacios naturales aledaños a la Zona Metropolitana de Guadalajara ha ido en aumento, y el incendio en el Cerro El Tepopote elevó la cifra.El siniestro, ocurrido el domingo pasado, inició alrededor de las dos de la tarde y la cortina de humo era visible en toda la ZMG. Tal fue su magnitud que la Secretaría de Medio Ambiente y Desarrollo Territorial (Semadet) activó una emergencia atmosférica en el municipio de Zapopan.","URL":"https://www.reporteindigo.com/reporte/incendios-forestales-eltepopote-devastacion-medio-ambiente-autoridades/","language":"es-ES","author":[{"family":"Indigo","given":""}],"issued":{"date-parts":[["2019"]]},"accessed":{"date-parts":[["2019",7,11]]}}}],"schema":"https://github.com/citation-style-language/schema/raw/master/csl-citation.json"} </w:instrText>
      </w:r>
      <w:r w:rsidRPr="009A5CE8">
        <w:rPr>
          <w:rFonts w:ascii="Arial" w:hAnsi="Arial" w:cs="Arial"/>
          <w:sz w:val="24"/>
          <w:szCs w:val="24"/>
          <w:lang w:val="es-MX"/>
        </w:rPr>
        <w:fldChar w:fldCharType="separate"/>
      </w:r>
      <w:r w:rsidRPr="009A5CE8">
        <w:rPr>
          <w:rFonts w:ascii="Arial" w:hAnsi="Arial" w:cs="Arial"/>
          <w:sz w:val="24"/>
        </w:rPr>
        <w:t>(Indigo, 2019)</w:t>
      </w:r>
      <w:r w:rsidRPr="009A5CE8">
        <w:rPr>
          <w:rFonts w:ascii="Arial" w:hAnsi="Arial" w:cs="Arial"/>
          <w:sz w:val="24"/>
          <w:szCs w:val="24"/>
          <w:lang w:val="es-MX"/>
        </w:rPr>
        <w:fldChar w:fldCharType="end"/>
      </w:r>
      <w:r w:rsidRPr="009A5CE8">
        <w:rPr>
          <w:rFonts w:ascii="Arial" w:hAnsi="Arial" w:cs="Arial"/>
          <w:sz w:val="24"/>
          <w:szCs w:val="24"/>
          <w:lang w:val="es-MX"/>
        </w:rPr>
        <w:t xml:space="preserve">. Cabe destacar, que no se tiene información abundante sobre este tema en la región, pues el monitoreo y la evaluación de daños, tanto económicos como naturales no están completamente definidos por sectores gubernamentales o privados que manejen este tipo de problema. Es por ello por lo que el análisis y la evaluación de criterios se reduce notablemente a evaluaciones meramente informativas y educativas. </w:t>
      </w:r>
    </w:p>
    <w:p w14:paraId="603A22F2" w14:textId="77777777" w:rsidR="009A5CE8" w:rsidRPr="009A5CE8" w:rsidRDefault="009A5CE8" w:rsidP="009A5CE8">
      <w:pPr>
        <w:spacing w:line="360" w:lineRule="auto"/>
        <w:jc w:val="both"/>
        <w:rPr>
          <w:rFonts w:ascii="Arial" w:hAnsi="Arial" w:cs="Arial"/>
          <w:sz w:val="24"/>
          <w:szCs w:val="24"/>
          <w:lang w:val="es-MX"/>
        </w:rPr>
      </w:pPr>
      <w:r w:rsidRPr="009A5CE8">
        <w:rPr>
          <w:rFonts w:ascii="Arial" w:hAnsi="Arial" w:cs="Arial"/>
          <w:sz w:val="24"/>
          <w:szCs w:val="24"/>
          <w:lang w:val="es-MX"/>
        </w:rPr>
        <w:t>Es entonces que el tener análisis más precisos y amplios de esta problemática forman parte de un insumo primordial para la evaluación y el análisis de los sectores invadidos por incendios forestales. Además, la caracterización del fenómeno permite en gran medida la toma de decisiones en los sectores encargados de la protección a zonas boscosas y áreas naturales protegidas, así como en la toma de decisión por parte de ejidatarios, quienes son parte fundamental para la regulación de quemas agrícolas en los municipios.</w:t>
      </w:r>
    </w:p>
    <w:p w14:paraId="315B86E4" w14:textId="77777777" w:rsidR="009A5CE8" w:rsidRPr="009A5CE8" w:rsidRDefault="009A5CE8" w:rsidP="009A5CE8">
      <w:pPr>
        <w:spacing w:line="360" w:lineRule="auto"/>
        <w:jc w:val="both"/>
        <w:rPr>
          <w:rFonts w:ascii="Arial" w:hAnsi="Arial" w:cs="Arial"/>
          <w:sz w:val="24"/>
          <w:szCs w:val="24"/>
          <w:lang w:val="es-MX"/>
        </w:rPr>
      </w:pPr>
      <w:r w:rsidRPr="009A5CE8">
        <w:rPr>
          <w:rFonts w:ascii="Arial" w:hAnsi="Arial" w:cs="Arial"/>
          <w:sz w:val="24"/>
          <w:szCs w:val="24"/>
          <w:lang w:val="es-MX"/>
        </w:rPr>
        <w:t>Por último, cabe destacar que la manipulación y el análisis de estos datos, ayuda en gran medida a la evaluación de daños naturales, monitoreo de pérdida de biodiversidad, cálculo de daños a infraestructuras y sobre todo a la repercusión económica en la región, aportando hacia los planes de manejo y conservación, así como a la mejora de capacidad de respuesta por parte de sectores brigadistas para disminuir las zonas de riesgo y afectación.</w:t>
      </w:r>
    </w:p>
    <w:p w14:paraId="54C2182E" w14:textId="55AF1492" w:rsidR="009A5CE8" w:rsidRDefault="004B265D" w:rsidP="004B265D">
      <w:pPr>
        <w:spacing w:line="360" w:lineRule="auto"/>
        <w:ind w:firstLine="708"/>
        <w:jc w:val="both"/>
        <w:rPr>
          <w:rFonts w:ascii="Arial" w:hAnsi="Arial" w:cs="Arial"/>
          <w:sz w:val="24"/>
          <w:szCs w:val="24"/>
          <w:lang w:val="es-MX"/>
        </w:rPr>
      </w:pPr>
      <w:r>
        <w:rPr>
          <w:rFonts w:ascii="Arial" w:hAnsi="Arial" w:cs="Arial"/>
          <w:sz w:val="24"/>
          <w:szCs w:val="24"/>
          <w:lang w:val="es-MX"/>
        </w:rPr>
        <w:t>Metodología.</w:t>
      </w:r>
    </w:p>
    <w:p w14:paraId="76AF0C71" w14:textId="1A9A359A" w:rsidR="004B265D" w:rsidRPr="004B265D" w:rsidRDefault="004B265D" w:rsidP="004B265D">
      <w:pPr>
        <w:spacing w:line="360" w:lineRule="auto"/>
        <w:jc w:val="both"/>
        <w:rPr>
          <w:rFonts w:ascii="Arial" w:hAnsi="Arial" w:cs="Arial"/>
          <w:sz w:val="24"/>
          <w:szCs w:val="24"/>
          <w:lang w:val="es-MX"/>
        </w:rPr>
      </w:pPr>
      <w:r w:rsidRPr="004B265D">
        <w:rPr>
          <w:rFonts w:ascii="Arial" w:hAnsi="Arial" w:cs="Arial"/>
          <w:sz w:val="24"/>
          <w:szCs w:val="24"/>
          <w:lang w:val="es-MX"/>
        </w:rPr>
        <w:t xml:space="preserve">Para la realización del análisis se procedió a la descarga de los puntos de calor durante el periodo 2010 al 2018 de manera anual mediante la plataforma “Sistema de Alerta Temprana de Incendios” por CONABIO (Comisión Nacional de Biodiversidad). </w:t>
      </w:r>
    </w:p>
    <w:p w14:paraId="347D4E54" w14:textId="02C29827" w:rsidR="004B265D" w:rsidRDefault="004B265D" w:rsidP="004B265D">
      <w:pPr>
        <w:spacing w:line="360" w:lineRule="auto"/>
        <w:jc w:val="both"/>
        <w:rPr>
          <w:rFonts w:ascii="Arial" w:hAnsi="Arial" w:cs="Arial"/>
          <w:sz w:val="24"/>
          <w:szCs w:val="24"/>
        </w:rPr>
      </w:pPr>
      <w:r w:rsidRPr="004B265D">
        <w:rPr>
          <w:rFonts w:ascii="Arial" w:hAnsi="Arial" w:cs="Arial"/>
          <w:sz w:val="24"/>
          <w:szCs w:val="24"/>
          <w:lang w:val="es-MX"/>
        </w:rPr>
        <w:t xml:space="preserve">Mediante el software </w:t>
      </w:r>
      <w:r w:rsidRPr="004B265D">
        <w:rPr>
          <w:rFonts w:ascii="Arial" w:hAnsi="Arial" w:cs="Arial"/>
          <w:i/>
          <w:iCs/>
          <w:sz w:val="24"/>
          <w:szCs w:val="24"/>
          <w:lang w:val="es-MX"/>
        </w:rPr>
        <w:t>ARCGIS 10.5</w:t>
      </w:r>
      <w:r w:rsidRPr="004B265D">
        <w:rPr>
          <w:rFonts w:ascii="Arial" w:hAnsi="Arial" w:cs="Arial"/>
          <w:sz w:val="24"/>
          <w:szCs w:val="24"/>
          <w:lang w:val="es-MX"/>
        </w:rPr>
        <w:t xml:space="preserve"> se analizaron</w:t>
      </w:r>
      <w:r w:rsidRPr="004B265D">
        <w:rPr>
          <w:rFonts w:ascii="Arial" w:hAnsi="Arial" w:cs="Arial"/>
          <w:sz w:val="24"/>
          <w:szCs w:val="24"/>
        </w:rPr>
        <w:t xml:space="preserve"> los puntos de calor para obtener la ubicación espacio-temporal de los focos activos en la zona, donde se visualizaron las tendencias grupales de los puntos de calor para visualizar si </w:t>
      </w:r>
      <w:r w:rsidRPr="004B265D">
        <w:rPr>
          <w:rFonts w:ascii="Arial" w:hAnsi="Arial" w:cs="Arial"/>
          <w:sz w:val="24"/>
          <w:szCs w:val="24"/>
        </w:rPr>
        <w:lastRenderedPageBreak/>
        <w:t xml:space="preserve">existe una agrupación en sectores específicos en la región. Para ello se implementó un script donde se ingresaban los archivos vectoriales de puntos de calor por año, facilitando el conteo de puntos de calor por categoría y por municipio. </w:t>
      </w:r>
    </w:p>
    <w:p w14:paraId="53B7A049" w14:textId="77777777" w:rsidR="00263723" w:rsidRPr="00263723" w:rsidRDefault="00263723" w:rsidP="00263723">
      <w:pPr>
        <w:spacing w:line="360" w:lineRule="auto"/>
        <w:jc w:val="both"/>
        <w:rPr>
          <w:rFonts w:ascii="Arial" w:hAnsi="Arial" w:cs="Arial"/>
          <w:sz w:val="24"/>
          <w:szCs w:val="24"/>
        </w:rPr>
      </w:pPr>
      <w:r w:rsidRPr="00263723">
        <w:rPr>
          <w:rFonts w:ascii="Arial" w:hAnsi="Arial" w:cs="Arial"/>
          <w:sz w:val="24"/>
          <w:szCs w:val="24"/>
        </w:rPr>
        <w:t>Con el uso de la serie VI de vegetación y uso de suelo generada por INEGI, se procedió a determinar el tipo de vegetación dañada por la aparición de puntos de calor durante los últimos 8 años de interés en general y por municipio en el área de estudio. Se cuantificó por tipo de vegetación el número de focos activos, para dimensionar el grado de afectación natural en la zona de estudio. Cabe destacar que los puntos incluidos para este paso no tienen un filtro únicamente para el impacto agrícola en la región.</w:t>
      </w:r>
    </w:p>
    <w:p w14:paraId="468CE616" w14:textId="77777777" w:rsidR="00263723" w:rsidRPr="00263723" w:rsidRDefault="00263723" w:rsidP="00263723">
      <w:pPr>
        <w:spacing w:line="360" w:lineRule="auto"/>
        <w:jc w:val="both"/>
        <w:rPr>
          <w:rFonts w:ascii="Arial" w:hAnsi="Arial" w:cs="Arial"/>
          <w:sz w:val="24"/>
          <w:szCs w:val="24"/>
        </w:rPr>
      </w:pPr>
      <w:r w:rsidRPr="00263723">
        <w:rPr>
          <w:rFonts w:ascii="Arial" w:hAnsi="Arial" w:cs="Arial"/>
          <w:sz w:val="24"/>
          <w:szCs w:val="24"/>
        </w:rPr>
        <w:t xml:space="preserve">Se realizó la descarga de 2 imágenes de condiciones atmosféricas de la región Costa Alegre mediante la plataforma </w:t>
      </w:r>
      <w:proofErr w:type="spellStart"/>
      <w:r w:rsidRPr="00263723">
        <w:rPr>
          <w:rFonts w:ascii="Arial" w:hAnsi="Arial" w:cs="Arial"/>
          <w:sz w:val="24"/>
          <w:szCs w:val="24"/>
        </w:rPr>
        <w:t>NOAA</w:t>
      </w:r>
      <w:proofErr w:type="spellEnd"/>
      <w:r w:rsidRPr="00263723">
        <w:rPr>
          <w:rFonts w:ascii="Arial" w:hAnsi="Arial" w:cs="Arial"/>
          <w:sz w:val="24"/>
          <w:szCs w:val="24"/>
        </w:rPr>
        <w:t xml:space="preserve"> (</w:t>
      </w:r>
      <w:proofErr w:type="spellStart"/>
      <w:r w:rsidRPr="00263723">
        <w:rPr>
          <w:rFonts w:ascii="Arial" w:hAnsi="Arial" w:cs="Arial"/>
          <w:sz w:val="24"/>
          <w:szCs w:val="24"/>
        </w:rPr>
        <w:t>National</w:t>
      </w:r>
      <w:proofErr w:type="spellEnd"/>
      <w:r w:rsidRPr="00263723">
        <w:rPr>
          <w:rFonts w:ascii="Arial" w:hAnsi="Arial" w:cs="Arial"/>
          <w:sz w:val="24"/>
          <w:szCs w:val="24"/>
        </w:rPr>
        <w:t xml:space="preserve"> Centers </w:t>
      </w:r>
      <w:proofErr w:type="spellStart"/>
      <w:r w:rsidRPr="00263723">
        <w:rPr>
          <w:rFonts w:ascii="Arial" w:hAnsi="Arial" w:cs="Arial"/>
          <w:sz w:val="24"/>
          <w:szCs w:val="24"/>
        </w:rPr>
        <w:t>for</w:t>
      </w:r>
      <w:proofErr w:type="spellEnd"/>
      <w:r w:rsidRPr="00263723">
        <w:rPr>
          <w:rFonts w:ascii="Arial" w:hAnsi="Arial" w:cs="Arial"/>
          <w:sz w:val="24"/>
          <w:szCs w:val="24"/>
        </w:rPr>
        <w:t xml:space="preserve"> </w:t>
      </w:r>
      <w:proofErr w:type="spellStart"/>
      <w:r w:rsidRPr="00263723">
        <w:rPr>
          <w:rFonts w:ascii="Arial" w:hAnsi="Arial" w:cs="Arial"/>
          <w:sz w:val="24"/>
          <w:szCs w:val="24"/>
        </w:rPr>
        <w:t>Environmental</w:t>
      </w:r>
      <w:proofErr w:type="spellEnd"/>
      <w:r w:rsidRPr="00263723">
        <w:rPr>
          <w:rFonts w:ascii="Arial" w:hAnsi="Arial" w:cs="Arial"/>
          <w:sz w:val="24"/>
          <w:szCs w:val="24"/>
        </w:rPr>
        <w:t xml:space="preserve"> Information). Se realizó la búsqueda de las imágenes por medio del satélite GEOES-15 (</w:t>
      </w:r>
      <w:proofErr w:type="spellStart"/>
      <w:r w:rsidRPr="00263723">
        <w:rPr>
          <w:rFonts w:ascii="Arial" w:hAnsi="Arial" w:cs="Arial"/>
          <w:sz w:val="24"/>
          <w:szCs w:val="24"/>
        </w:rPr>
        <w:t>Geostationary</w:t>
      </w:r>
      <w:proofErr w:type="spellEnd"/>
      <w:r w:rsidRPr="00263723">
        <w:rPr>
          <w:rFonts w:ascii="Arial" w:hAnsi="Arial" w:cs="Arial"/>
          <w:sz w:val="24"/>
          <w:szCs w:val="24"/>
        </w:rPr>
        <w:t xml:space="preserve"> </w:t>
      </w:r>
      <w:proofErr w:type="spellStart"/>
      <w:r w:rsidRPr="00263723">
        <w:rPr>
          <w:rFonts w:ascii="Arial" w:hAnsi="Arial" w:cs="Arial"/>
          <w:sz w:val="24"/>
          <w:szCs w:val="24"/>
        </w:rPr>
        <w:t>Operational</w:t>
      </w:r>
      <w:proofErr w:type="spellEnd"/>
      <w:r w:rsidRPr="00263723">
        <w:rPr>
          <w:rFonts w:ascii="Arial" w:hAnsi="Arial" w:cs="Arial"/>
          <w:sz w:val="24"/>
          <w:szCs w:val="24"/>
        </w:rPr>
        <w:t xml:space="preserve"> </w:t>
      </w:r>
      <w:proofErr w:type="spellStart"/>
      <w:r w:rsidRPr="00263723">
        <w:rPr>
          <w:rFonts w:ascii="Arial" w:hAnsi="Arial" w:cs="Arial"/>
          <w:sz w:val="24"/>
          <w:szCs w:val="24"/>
        </w:rPr>
        <w:t>Environmental</w:t>
      </w:r>
      <w:proofErr w:type="spellEnd"/>
      <w:r w:rsidRPr="00263723">
        <w:rPr>
          <w:rFonts w:ascii="Arial" w:hAnsi="Arial" w:cs="Arial"/>
          <w:sz w:val="24"/>
          <w:szCs w:val="24"/>
        </w:rPr>
        <w:t xml:space="preserve"> </w:t>
      </w:r>
      <w:proofErr w:type="spellStart"/>
      <w:r w:rsidRPr="00263723">
        <w:rPr>
          <w:rFonts w:ascii="Arial" w:hAnsi="Arial" w:cs="Arial"/>
          <w:sz w:val="24"/>
          <w:szCs w:val="24"/>
        </w:rPr>
        <w:t>Satellite</w:t>
      </w:r>
      <w:proofErr w:type="spellEnd"/>
      <w:r w:rsidRPr="00263723">
        <w:rPr>
          <w:rFonts w:ascii="Arial" w:hAnsi="Arial" w:cs="Arial"/>
          <w:sz w:val="24"/>
          <w:szCs w:val="24"/>
        </w:rPr>
        <w:t xml:space="preserve"> - 15), el cual permite realizar análisis de las condiciones climáticas en tiempo real. Dichas imágenes fueron usadas para describir si existe relación alguna de las condiciones atmosféricas con la aparición de incendios forestales.</w:t>
      </w:r>
    </w:p>
    <w:p w14:paraId="17CFBE04" w14:textId="2663C478" w:rsidR="004B265D" w:rsidRPr="004B265D" w:rsidRDefault="00263723" w:rsidP="00263723">
      <w:pPr>
        <w:spacing w:line="360" w:lineRule="auto"/>
        <w:jc w:val="both"/>
        <w:rPr>
          <w:rFonts w:ascii="Arial" w:hAnsi="Arial" w:cs="Arial"/>
          <w:sz w:val="24"/>
          <w:szCs w:val="24"/>
        </w:rPr>
      </w:pPr>
      <w:r w:rsidRPr="00263723">
        <w:rPr>
          <w:rFonts w:ascii="Arial" w:hAnsi="Arial" w:cs="Arial"/>
          <w:sz w:val="24"/>
          <w:szCs w:val="24"/>
        </w:rPr>
        <w:t xml:space="preserve">En cuanto a la relación de puntos de calor con las actividades agropecuarias, se utilizó la plataforma Google </w:t>
      </w:r>
      <w:proofErr w:type="spellStart"/>
      <w:r w:rsidRPr="00263723">
        <w:rPr>
          <w:rFonts w:ascii="Arial" w:hAnsi="Arial" w:cs="Arial"/>
          <w:sz w:val="24"/>
          <w:szCs w:val="24"/>
        </w:rPr>
        <w:t>Earth</w:t>
      </w:r>
      <w:proofErr w:type="spellEnd"/>
      <w:r w:rsidRPr="00263723">
        <w:rPr>
          <w:rFonts w:ascii="Arial" w:hAnsi="Arial" w:cs="Arial"/>
          <w:sz w:val="24"/>
          <w:szCs w:val="24"/>
        </w:rPr>
        <w:t xml:space="preserve"> </w:t>
      </w:r>
      <w:proofErr w:type="spellStart"/>
      <w:r w:rsidRPr="00263723">
        <w:rPr>
          <w:rFonts w:ascii="Arial" w:hAnsi="Arial" w:cs="Arial"/>
          <w:sz w:val="24"/>
          <w:szCs w:val="24"/>
        </w:rPr>
        <w:t>Engine</w:t>
      </w:r>
      <w:proofErr w:type="spellEnd"/>
      <w:r w:rsidRPr="00263723">
        <w:rPr>
          <w:rFonts w:ascii="Arial" w:hAnsi="Arial" w:cs="Arial"/>
          <w:sz w:val="24"/>
          <w:szCs w:val="24"/>
        </w:rPr>
        <w:t>, con un script se ingresaron muestras de los puntos de calor por año, y mediante imágenes de satélite se identificaron las cicatrices en pre- incendio y post incendio.</w:t>
      </w:r>
    </w:p>
    <w:p w14:paraId="38B5077E" w14:textId="75BCDEA8" w:rsidR="004B265D" w:rsidRDefault="005A31AF" w:rsidP="004B6B9A">
      <w:pPr>
        <w:spacing w:line="360" w:lineRule="auto"/>
        <w:jc w:val="both"/>
        <w:rPr>
          <w:rFonts w:ascii="Arial" w:hAnsi="Arial" w:cs="Arial"/>
          <w:sz w:val="24"/>
          <w:szCs w:val="24"/>
        </w:rPr>
      </w:pPr>
      <w:r w:rsidRPr="005A31AF">
        <w:rPr>
          <w:rFonts w:ascii="Arial" w:hAnsi="Arial" w:cs="Arial"/>
          <w:sz w:val="24"/>
          <w:szCs w:val="24"/>
        </w:rPr>
        <w:t>Por último, se generaron las cartografías de la ubicación de puntos de calor para obtener una visualización precisa de la ubicación espacial de dichos focos. Esto se generó para cada uno de los años en análisis, por lo que para representación esquemática, se eligieron los años con menor y mayor afectación de puntos</w:t>
      </w:r>
      <w:r>
        <w:rPr>
          <w:rFonts w:ascii="Arial" w:hAnsi="Arial" w:cs="Arial"/>
          <w:sz w:val="24"/>
          <w:szCs w:val="24"/>
        </w:rPr>
        <w:t xml:space="preserve"> de calor.</w:t>
      </w:r>
    </w:p>
    <w:p w14:paraId="3EB01DA5" w14:textId="0FE65EA3" w:rsidR="0042665F" w:rsidRPr="009F022C" w:rsidRDefault="00C74D7A" w:rsidP="0042665F">
      <w:pPr>
        <w:spacing w:line="360" w:lineRule="auto"/>
        <w:jc w:val="both"/>
        <w:rPr>
          <w:rFonts w:ascii="Arial" w:hAnsi="Arial" w:cs="Arial"/>
          <w:b/>
          <w:bCs/>
          <w:sz w:val="24"/>
          <w:szCs w:val="24"/>
        </w:rPr>
      </w:pPr>
      <w:r w:rsidRPr="00C74D7A">
        <w:rPr>
          <w:rFonts w:ascii="Arial" w:hAnsi="Arial" w:cs="Arial"/>
          <w:b/>
          <w:bCs/>
          <w:sz w:val="24"/>
          <w:szCs w:val="24"/>
        </w:rPr>
        <w:t>Resultados.</w:t>
      </w:r>
      <w:r w:rsidR="009F022C">
        <w:rPr>
          <w:rFonts w:ascii="Arial" w:hAnsi="Arial" w:cs="Arial"/>
          <w:b/>
          <w:bCs/>
          <w:sz w:val="24"/>
          <w:szCs w:val="24"/>
        </w:rPr>
        <w:t xml:space="preserve"> </w:t>
      </w:r>
      <w:r w:rsidR="0042665F" w:rsidRPr="0042665F">
        <w:rPr>
          <w:rFonts w:ascii="Arial" w:hAnsi="Arial" w:cs="Arial"/>
          <w:sz w:val="24"/>
          <w:szCs w:val="24"/>
          <w:lang w:val="es-MX"/>
        </w:rPr>
        <w:t xml:space="preserve">Al evaluar la cantidad y ocurrencia de puntos de calor en la región se obtuvo un total de 14,522 puntos de calor (Tabla 1) distribuidos a lo largo de los años de referencia. Se puede mencionar que los meses con mayor ocurrencia corresponden a mayo y junio con un registro de 8,251 y 3,698 puntos de calor respectivamente dentro del rango de análisis. </w:t>
      </w:r>
    </w:p>
    <w:p w14:paraId="0D71BEA2" w14:textId="4D2762FD" w:rsidR="00F6708C" w:rsidRPr="00F6708C" w:rsidRDefault="0042665F" w:rsidP="00F6708C">
      <w:pPr>
        <w:spacing w:line="360" w:lineRule="auto"/>
        <w:jc w:val="center"/>
        <w:rPr>
          <w:rFonts w:ascii="Arial" w:hAnsi="Arial" w:cs="Arial"/>
          <w:sz w:val="20"/>
          <w:szCs w:val="20"/>
          <w:lang w:val="es-MX"/>
        </w:rPr>
      </w:pPr>
      <w:r w:rsidRPr="00FF1FC2">
        <w:rPr>
          <w:rFonts w:ascii="Arial" w:hAnsi="Arial" w:cs="Arial"/>
          <w:i/>
          <w:iCs/>
          <w:sz w:val="20"/>
          <w:szCs w:val="20"/>
          <w:lang w:val="es-MX"/>
        </w:rPr>
        <w:lastRenderedPageBreak/>
        <w:t xml:space="preserve">Tabla 1. </w:t>
      </w:r>
      <w:r w:rsidRPr="0042665F">
        <w:rPr>
          <w:rFonts w:ascii="Arial" w:hAnsi="Arial" w:cs="Arial"/>
          <w:sz w:val="20"/>
          <w:szCs w:val="20"/>
          <w:lang w:val="es-MX"/>
        </w:rPr>
        <w:t>Distribución de los puntos de calor en el periodo de estudio.</w:t>
      </w:r>
    </w:p>
    <w:tbl>
      <w:tblPr>
        <w:tblW w:w="8340" w:type="dxa"/>
        <w:jc w:val="center"/>
        <w:tblCellMar>
          <w:left w:w="70" w:type="dxa"/>
          <w:right w:w="70" w:type="dxa"/>
        </w:tblCellMar>
        <w:tblLook w:val="04A0" w:firstRow="1" w:lastRow="0" w:firstColumn="1" w:lastColumn="0" w:noHBand="0" w:noVBand="1"/>
      </w:tblPr>
      <w:tblGrid>
        <w:gridCol w:w="470"/>
        <w:gridCol w:w="1029"/>
        <w:gridCol w:w="523"/>
        <w:gridCol w:w="523"/>
        <w:gridCol w:w="523"/>
        <w:gridCol w:w="588"/>
        <w:gridCol w:w="768"/>
        <w:gridCol w:w="768"/>
        <w:gridCol w:w="523"/>
        <w:gridCol w:w="523"/>
        <w:gridCol w:w="523"/>
        <w:gridCol w:w="523"/>
        <w:gridCol w:w="523"/>
        <w:gridCol w:w="523"/>
        <w:gridCol w:w="10"/>
      </w:tblGrid>
      <w:tr w:rsidR="00F6708C" w:rsidRPr="00D30CFE" w14:paraId="4DDD11E7" w14:textId="77777777" w:rsidTr="007863E9">
        <w:trPr>
          <w:trHeight w:val="155"/>
          <w:jc w:val="center"/>
        </w:trPr>
        <w:tc>
          <w:tcPr>
            <w:tcW w:w="470" w:type="dxa"/>
            <w:tcBorders>
              <w:top w:val="nil"/>
              <w:left w:val="nil"/>
              <w:bottom w:val="nil"/>
              <w:right w:val="nil"/>
            </w:tcBorders>
            <w:shd w:val="clear" w:color="000000" w:fill="FFFFFF"/>
            <w:noWrap/>
            <w:vAlign w:val="center"/>
            <w:hideMark/>
          </w:tcPr>
          <w:p w14:paraId="5FAB020D"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 </w:t>
            </w:r>
          </w:p>
        </w:tc>
        <w:tc>
          <w:tcPr>
            <w:tcW w:w="1029" w:type="dxa"/>
            <w:tcBorders>
              <w:top w:val="nil"/>
              <w:left w:val="nil"/>
              <w:bottom w:val="nil"/>
              <w:right w:val="nil"/>
            </w:tcBorders>
            <w:shd w:val="clear" w:color="000000" w:fill="FFFFFF"/>
            <w:noWrap/>
            <w:vAlign w:val="center"/>
            <w:hideMark/>
          </w:tcPr>
          <w:p w14:paraId="3E7A8537" w14:textId="77777777" w:rsidR="00F6708C" w:rsidRPr="00D30CFE" w:rsidRDefault="00F6708C" w:rsidP="00F6708C">
            <w:pPr>
              <w:spacing w:after="0" w:line="240" w:lineRule="auto"/>
              <w:jc w:val="center"/>
              <w:rPr>
                <w:rFonts w:ascii="Times New Roman" w:eastAsia="Times New Roman" w:hAnsi="Times New Roman" w:cs="Times New Roman"/>
                <w:b/>
                <w:bCs/>
                <w:color w:val="000000"/>
                <w:sz w:val="20"/>
                <w:szCs w:val="20"/>
                <w:lang w:eastAsia="es-ES"/>
              </w:rPr>
            </w:pPr>
            <w:r w:rsidRPr="00D30CFE">
              <w:rPr>
                <w:rFonts w:ascii="Times New Roman" w:eastAsia="Times New Roman" w:hAnsi="Times New Roman" w:cs="Times New Roman"/>
                <w:b/>
                <w:bCs/>
                <w:color w:val="000000"/>
                <w:sz w:val="20"/>
                <w:szCs w:val="20"/>
                <w:lang w:eastAsia="es-ES"/>
              </w:rPr>
              <w:t> </w:t>
            </w:r>
          </w:p>
        </w:tc>
        <w:tc>
          <w:tcPr>
            <w:tcW w:w="6841" w:type="dxa"/>
            <w:gridSpan w:val="13"/>
            <w:tcBorders>
              <w:top w:val="nil"/>
              <w:left w:val="nil"/>
              <w:bottom w:val="nil"/>
              <w:right w:val="nil"/>
            </w:tcBorders>
            <w:shd w:val="clear" w:color="000000" w:fill="FFFFFF"/>
            <w:noWrap/>
            <w:vAlign w:val="center"/>
            <w:hideMark/>
          </w:tcPr>
          <w:p w14:paraId="7D55564F"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Mes</w:t>
            </w:r>
          </w:p>
        </w:tc>
      </w:tr>
      <w:tr w:rsidR="00F6708C" w:rsidRPr="00D30CFE" w14:paraId="585F40E3" w14:textId="77777777" w:rsidTr="007863E9">
        <w:trPr>
          <w:gridAfter w:val="1"/>
          <w:wAfter w:w="10" w:type="dxa"/>
          <w:trHeight w:val="691"/>
          <w:jc w:val="center"/>
        </w:trPr>
        <w:tc>
          <w:tcPr>
            <w:tcW w:w="470" w:type="dxa"/>
            <w:tcBorders>
              <w:top w:val="nil"/>
              <w:left w:val="nil"/>
              <w:bottom w:val="nil"/>
              <w:right w:val="nil"/>
            </w:tcBorders>
            <w:shd w:val="clear" w:color="000000" w:fill="FFFFFF"/>
            <w:vAlign w:val="center"/>
            <w:hideMark/>
          </w:tcPr>
          <w:p w14:paraId="3504B8D7"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 </w:t>
            </w:r>
          </w:p>
        </w:tc>
        <w:tc>
          <w:tcPr>
            <w:tcW w:w="1029" w:type="dxa"/>
            <w:tcBorders>
              <w:top w:val="nil"/>
              <w:left w:val="nil"/>
              <w:bottom w:val="nil"/>
              <w:right w:val="nil"/>
            </w:tcBorders>
            <w:shd w:val="clear" w:color="000000" w:fill="FFFFFF"/>
            <w:vAlign w:val="center"/>
            <w:hideMark/>
          </w:tcPr>
          <w:p w14:paraId="1133D57E"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 </w:t>
            </w:r>
          </w:p>
        </w:tc>
        <w:tc>
          <w:tcPr>
            <w:tcW w:w="523" w:type="dxa"/>
            <w:tcBorders>
              <w:top w:val="nil"/>
              <w:left w:val="nil"/>
              <w:bottom w:val="single" w:sz="8" w:space="0" w:color="auto"/>
              <w:right w:val="nil"/>
            </w:tcBorders>
            <w:shd w:val="clear" w:color="000000" w:fill="FFFFFF"/>
            <w:noWrap/>
            <w:textDirection w:val="btLr"/>
            <w:vAlign w:val="center"/>
            <w:hideMark/>
          </w:tcPr>
          <w:p w14:paraId="0C91FDE5" w14:textId="77777777" w:rsidR="00F6708C" w:rsidRPr="00B90D30" w:rsidRDefault="00F6708C" w:rsidP="00F6708C">
            <w:pPr>
              <w:spacing w:after="0" w:line="240" w:lineRule="auto"/>
              <w:jc w:val="center"/>
              <w:rPr>
                <w:rFonts w:ascii="Times New Roman" w:eastAsia="Times New Roman" w:hAnsi="Times New Roman" w:cs="Times New Roman"/>
                <w:color w:val="000000"/>
                <w:sz w:val="14"/>
                <w:szCs w:val="14"/>
                <w:lang w:eastAsia="es-ES"/>
              </w:rPr>
            </w:pPr>
            <w:r w:rsidRPr="00B90D30">
              <w:rPr>
                <w:rFonts w:ascii="Times New Roman" w:eastAsia="Times New Roman" w:hAnsi="Times New Roman" w:cs="Times New Roman"/>
                <w:color w:val="000000"/>
                <w:sz w:val="14"/>
                <w:szCs w:val="14"/>
                <w:lang w:eastAsia="es-ES"/>
              </w:rPr>
              <w:t>Enero</w:t>
            </w:r>
          </w:p>
        </w:tc>
        <w:tc>
          <w:tcPr>
            <w:tcW w:w="523" w:type="dxa"/>
            <w:tcBorders>
              <w:top w:val="nil"/>
              <w:left w:val="nil"/>
              <w:bottom w:val="single" w:sz="8" w:space="0" w:color="auto"/>
              <w:right w:val="nil"/>
            </w:tcBorders>
            <w:shd w:val="clear" w:color="000000" w:fill="FFFFFF"/>
            <w:noWrap/>
            <w:textDirection w:val="btLr"/>
            <w:vAlign w:val="center"/>
            <w:hideMark/>
          </w:tcPr>
          <w:p w14:paraId="57C5F9BB" w14:textId="77777777" w:rsidR="00F6708C" w:rsidRPr="00B90D30" w:rsidRDefault="00F6708C" w:rsidP="00F6708C">
            <w:pPr>
              <w:spacing w:after="0" w:line="240" w:lineRule="auto"/>
              <w:jc w:val="center"/>
              <w:rPr>
                <w:rFonts w:ascii="Times New Roman" w:eastAsia="Times New Roman" w:hAnsi="Times New Roman" w:cs="Times New Roman"/>
                <w:color w:val="000000"/>
                <w:sz w:val="14"/>
                <w:szCs w:val="14"/>
                <w:lang w:eastAsia="es-ES"/>
              </w:rPr>
            </w:pPr>
            <w:r w:rsidRPr="00B90D30">
              <w:rPr>
                <w:rFonts w:ascii="Times New Roman" w:eastAsia="Times New Roman" w:hAnsi="Times New Roman" w:cs="Times New Roman"/>
                <w:color w:val="000000"/>
                <w:sz w:val="14"/>
                <w:szCs w:val="14"/>
                <w:lang w:eastAsia="es-ES"/>
              </w:rPr>
              <w:t>Febrero</w:t>
            </w:r>
          </w:p>
        </w:tc>
        <w:tc>
          <w:tcPr>
            <w:tcW w:w="523" w:type="dxa"/>
            <w:tcBorders>
              <w:top w:val="nil"/>
              <w:left w:val="nil"/>
              <w:bottom w:val="single" w:sz="8" w:space="0" w:color="auto"/>
              <w:right w:val="nil"/>
            </w:tcBorders>
            <w:shd w:val="clear" w:color="000000" w:fill="FFFFFF"/>
            <w:noWrap/>
            <w:textDirection w:val="btLr"/>
            <w:vAlign w:val="center"/>
            <w:hideMark/>
          </w:tcPr>
          <w:p w14:paraId="610A55F8" w14:textId="77777777" w:rsidR="00F6708C" w:rsidRPr="00B90D30" w:rsidRDefault="00F6708C" w:rsidP="00F6708C">
            <w:pPr>
              <w:spacing w:after="0" w:line="240" w:lineRule="auto"/>
              <w:jc w:val="center"/>
              <w:rPr>
                <w:rFonts w:ascii="Times New Roman" w:eastAsia="Times New Roman" w:hAnsi="Times New Roman" w:cs="Times New Roman"/>
                <w:color w:val="000000"/>
                <w:sz w:val="14"/>
                <w:szCs w:val="14"/>
                <w:lang w:eastAsia="es-ES"/>
              </w:rPr>
            </w:pPr>
            <w:r w:rsidRPr="00B90D30">
              <w:rPr>
                <w:rFonts w:ascii="Times New Roman" w:eastAsia="Times New Roman" w:hAnsi="Times New Roman" w:cs="Times New Roman"/>
                <w:color w:val="000000"/>
                <w:sz w:val="14"/>
                <w:szCs w:val="14"/>
                <w:lang w:eastAsia="es-ES"/>
              </w:rPr>
              <w:t xml:space="preserve">Marzo </w:t>
            </w:r>
          </w:p>
        </w:tc>
        <w:tc>
          <w:tcPr>
            <w:tcW w:w="588" w:type="dxa"/>
            <w:tcBorders>
              <w:top w:val="nil"/>
              <w:left w:val="nil"/>
              <w:bottom w:val="single" w:sz="8" w:space="0" w:color="auto"/>
              <w:right w:val="nil"/>
            </w:tcBorders>
            <w:shd w:val="clear" w:color="000000" w:fill="FFFFFF"/>
            <w:noWrap/>
            <w:textDirection w:val="btLr"/>
            <w:vAlign w:val="center"/>
            <w:hideMark/>
          </w:tcPr>
          <w:p w14:paraId="6490FF88" w14:textId="77777777" w:rsidR="00F6708C" w:rsidRPr="00B90D30" w:rsidRDefault="00F6708C" w:rsidP="00F6708C">
            <w:pPr>
              <w:spacing w:after="0" w:line="240" w:lineRule="auto"/>
              <w:jc w:val="center"/>
              <w:rPr>
                <w:rFonts w:ascii="Times New Roman" w:eastAsia="Times New Roman" w:hAnsi="Times New Roman" w:cs="Times New Roman"/>
                <w:color w:val="000000"/>
                <w:sz w:val="14"/>
                <w:szCs w:val="14"/>
                <w:lang w:eastAsia="es-ES"/>
              </w:rPr>
            </w:pPr>
            <w:r w:rsidRPr="00B90D30">
              <w:rPr>
                <w:rFonts w:ascii="Times New Roman" w:eastAsia="Times New Roman" w:hAnsi="Times New Roman" w:cs="Times New Roman"/>
                <w:color w:val="000000"/>
                <w:sz w:val="14"/>
                <w:szCs w:val="14"/>
                <w:lang w:eastAsia="es-ES"/>
              </w:rPr>
              <w:t>Abril</w:t>
            </w:r>
          </w:p>
        </w:tc>
        <w:tc>
          <w:tcPr>
            <w:tcW w:w="768" w:type="dxa"/>
            <w:tcBorders>
              <w:top w:val="nil"/>
              <w:left w:val="nil"/>
              <w:bottom w:val="single" w:sz="8" w:space="0" w:color="auto"/>
              <w:right w:val="nil"/>
            </w:tcBorders>
            <w:shd w:val="clear" w:color="000000" w:fill="FFFFFF"/>
            <w:noWrap/>
            <w:textDirection w:val="btLr"/>
            <w:vAlign w:val="center"/>
            <w:hideMark/>
          </w:tcPr>
          <w:p w14:paraId="29A7E896" w14:textId="77777777" w:rsidR="00F6708C" w:rsidRPr="00B90D30" w:rsidRDefault="00F6708C" w:rsidP="00F6708C">
            <w:pPr>
              <w:spacing w:after="0" w:line="240" w:lineRule="auto"/>
              <w:jc w:val="center"/>
              <w:rPr>
                <w:rFonts w:ascii="Times New Roman" w:eastAsia="Times New Roman" w:hAnsi="Times New Roman" w:cs="Times New Roman"/>
                <w:color w:val="000000"/>
                <w:sz w:val="14"/>
                <w:szCs w:val="14"/>
                <w:lang w:eastAsia="es-ES"/>
              </w:rPr>
            </w:pPr>
            <w:r w:rsidRPr="00B90D30">
              <w:rPr>
                <w:rFonts w:ascii="Times New Roman" w:eastAsia="Times New Roman" w:hAnsi="Times New Roman" w:cs="Times New Roman"/>
                <w:color w:val="000000"/>
                <w:sz w:val="14"/>
                <w:szCs w:val="14"/>
                <w:lang w:eastAsia="es-ES"/>
              </w:rPr>
              <w:t>Mayo</w:t>
            </w:r>
          </w:p>
        </w:tc>
        <w:tc>
          <w:tcPr>
            <w:tcW w:w="768" w:type="dxa"/>
            <w:tcBorders>
              <w:top w:val="nil"/>
              <w:left w:val="nil"/>
              <w:bottom w:val="single" w:sz="8" w:space="0" w:color="auto"/>
              <w:right w:val="nil"/>
            </w:tcBorders>
            <w:shd w:val="clear" w:color="000000" w:fill="FFFFFF"/>
            <w:noWrap/>
            <w:textDirection w:val="btLr"/>
            <w:vAlign w:val="center"/>
            <w:hideMark/>
          </w:tcPr>
          <w:p w14:paraId="299296B7" w14:textId="77777777" w:rsidR="00F6708C" w:rsidRPr="00B90D30" w:rsidRDefault="00F6708C" w:rsidP="00F6708C">
            <w:pPr>
              <w:spacing w:after="0" w:line="240" w:lineRule="auto"/>
              <w:jc w:val="center"/>
              <w:rPr>
                <w:rFonts w:ascii="Times New Roman" w:eastAsia="Times New Roman" w:hAnsi="Times New Roman" w:cs="Times New Roman"/>
                <w:color w:val="000000"/>
                <w:sz w:val="14"/>
                <w:szCs w:val="14"/>
                <w:lang w:eastAsia="es-ES"/>
              </w:rPr>
            </w:pPr>
            <w:r w:rsidRPr="00B90D30">
              <w:rPr>
                <w:rFonts w:ascii="Times New Roman" w:eastAsia="Times New Roman" w:hAnsi="Times New Roman" w:cs="Times New Roman"/>
                <w:color w:val="000000"/>
                <w:sz w:val="14"/>
                <w:szCs w:val="14"/>
                <w:lang w:eastAsia="es-ES"/>
              </w:rPr>
              <w:t>Junio</w:t>
            </w:r>
          </w:p>
        </w:tc>
        <w:tc>
          <w:tcPr>
            <w:tcW w:w="523" w:type="dxa"/>
            <w:tcBorders>
              <w:top w:val="nil"/>
              <w:left w:val="nil"/>
              <w:bottom w:val="single" w:sz="8" w:space="0" w:color="auto"/>
              <w:right w:val="nil"/>
            </w:tcBorders>
            <w:shd w:val="clear" w:color="000000" w:fill="FFFFFF"/>
            <w:noWrap/>
            <w:textDirection w:val="btLr"/>
            <w:vAlign w:val="center"/>
            <w:hideMark/>
          </w:tcPr>
          <w:p w14:paraId="77ACA43F" w14:textId="77777777" w:rsidR="00F6708C" w:rsidRPr="00B90D30" w:rsidRDefault="00F6708C" w:rsidP="00F6708C">
            <w:pPr>
              <w:spacing w:after="0" w:line="240" w:lineRule="auto"/>
              <w:jc w:val="center"/>
              <w:rPr>
                <w:rFonts w:ascii="Times New Roman" w:eastAsia="Times New Roman" w:hAnsi="Times New Roman" w:cs="Times New Roman"/>
                <w:color w:val="000000"/>
                <w:sz w:val="14"/>
                <w:szCs w:val="14"/>
                <w:lang w:eastAsia="es-ES"/>
              </w:rPr>
            </w:pPr>
            <w:r w:rsidRPr="00B90D30">
              <w:rPr>
                <w:rFonts w:ascii="Times New Roman" w:eastAsia="Times New Roman" w:hAnsi="Times New Roman" w:cs="Times New Roman"/>
                <w:color w:val="000000"/>
                <w:sz w:val="14"/>
                <w:szCs w:val="14"/>
                <w:lang w:eastAsia="es-ES"/>
              </w:rPr>
              <w:t>Julio</w:t>
            </w:r>
          </w:p>
        </w:tc>
        <w:tc>
          <w:tcPr>
            <w:tcW w:w="523" w:type="dxa"/>
            <w:tcBorders>
              <w:top w:val="nil"/>
              <w:left w:val="nil"/>
              <w:bottom w:val="single" w:sz="8" w:space="0" w:color="auto"/>
              <w:right w:val="nil"/>
            </w:tcBorders>
            <w:shd w:val="clear" w:color="000000" w:fill="FFFFFF"/>
            <w:noWrap/>
            <w:textDirection w:val="btLr"/>
            <w:vAlign w:val="center"/>
            <w:hideMark/>
          </w:tcPr>
          <w:p w14:paraId="352606D0" w14:textId="77777777" w:rsidR="00F6708C" w:rsidRPr="00B90D30" w:rsidRDefault="00F6708C" w:rsidP="00F6708C">
            <w:pPr>
              <w:spacing w:after="0" w:line="240" w:lineRule="auto"/>
              <w:jc w:val="center"/>
              <w:rPr>
                <w:rFonts w:ascii="Times New Roman" w:eastAsia="Times New Roman" w:hAnsi="Times New Roman" w:cs="Times New Roman"/>
                <w:color w:val="000000"/>
                <w:sz w:val="14"/>
                <w:szCs w:val="14"/>
                <w:lang w:eastAsia="es-ES"/>
              </w:rPr>
            </w:pPr>
            <w:r w:rsidRPr="00B90D30">
              <w:rPr>
                <w:rFonts w:ascii="Times New Roman" w:eastAsia="Times New Roman" w:hAnsi="Times New Roman" w:cs="Times New Roman"/>
                <w:color w:val="000000"/>
                <w:sz w:val="14"/>
                <w:szCs w:val="14"/>
                <w:lang w:eastAsia="es-ES"/>
              </w:rPr>
              <w:t>Agosto</w:t>
            </w:r>
          </w:p>
        </w:tc>
        <w:tc>
          <w:tcPr>
            <w:tcW w:w="523" w:type="dxa"/>
            <w:tcBorders>
              <w:top w:val="nil"/>
              <w:left w:val="nil"/>
              <w:bottom w:val="single" w:sz="8" w:space="0" w:color="auto"/>
              <w:right w:val="nil"/>
            </w:tcBorders>
            <w:shd w:val="clear" w:color="000000" w:fill="FFFFFF"/>
            <w:noWrap/>
            <w:textDirection w:val="btLr"/>
            <w:vAlign w:val="center"/>
            <w:hideMark/>
          </w:tcPr>
          <w:p w14:paraId="0EE03235" w14:textId="77777777" w:rsidR="00F6708C" w:rsidRPr="00B90D30" w:rsidRDefault="00F6708C" w:rsidP="00F6708C">
            <w:pPr>
              <w:spacing w:after="0" w:line="240" w:lineRule="auto"/>
              <w:jc w:val="center"/>
              <w:rPr>
                <w:rFonts w:ascii="Times New Roman" w:eastAsia="Times New Roman" w:hAnsi="Times New Roman" w:cs="Times New Roman"/>
                <w:color w:val="000000"/>
                <w:sz w:val="14"/>
                <w:szCs w:val="14"/>
                <w:lang w:eastAsia="es-ES"/>
              </w:rPr>
            </w:pPr>
            <w:r w:rsidRPr="00B90D30">
              <w:rPr>
                <w:rFonts w:ascii="Times New Roman" w:eastAsia="Times New Roman" w:hAnsi="Times New Roman" w:cs="Times New Roman"/>
                <w:color w:val="000000"/>
                <w:sz w:val="14"/>
                <w:szCs w:val="14"/>
                <w:lang w:eastAsia="es-ES"/>
              </w:rPr>
              <w:t>Septiembre</w:t>
            </w:r>
          </w:p>
        </w:tc>
        <w:tc>
          <w:tcPr>
            <w:tcW w:w="523" w:type="dxa"/>
            <w:tcBorders>
              <w:top w:val="nil"/>
              <w:left w:val="nil"/>
              <w:bottom w:val="single" w:sz="8" w:space="0" w:color="auto"/>
              <w:right w:val="nil"/>
            </w:tcBorders>
            <w:shd w:val="clear" w:color="000000" w:fill="FFFFFF"/>
            <w:noWrap/>
            <w:textDirection w:val="btLr"/>
            <w:vAlign w:val="center"/>
            <w:hideMark/>
          </w:tcPr>
          <w:p w14:paraId="49F2CA29" w14:textId="77777777" w:rsidR="00F6708C" w:rsidRPr="00B90D30" w:rsidRDefault="00F6708C" w:rsidP="00F6708C">
            <w:pPr>
              <w:spacing w:after="0" w:line="240" w:lineRule="auto"/>
              <w:jc w:val="center"/>
              <w:rPr>
                <w:rFonts w:ascii="Times New Roman" w:eastAsia="Times New Roman" w:hAnsi="Times New Roman" w:cs="Times New Roman"/>
                <w:color w:val="000000"/>
                <w:sz w:val="14"/>
                <w:szCs w:val="14"/>
                <w:lang w:eastAsia="es-ES"/>
              </w:rPr>
            </w:pPr>
            <w:r w:rsidRPr="00B90D30">
              <w:rPr>
                <w:rFonts w:ascii="Times New Roman" w:eastAsia="Times New Roman" w:hAnsi="Times New Roman" w:cs="Times New Roman"/>
                <w:color w:val="000000"/>
                <w:sz w:val="14"/>
                <w:szCs w:val="14"/>
                <w:lang w:eastAsia="es-ES"/>
              </w:rPr>
              <w:t>Octubre</w:t>
            </w:r>
          </w:p>
        </w:tc>
        <w:tc>
          <w:tcPr>
            <w:tcW w:w="523" w:type="dxa"/>
            <w:tcBorders>
              <w:top w:val="nil"/>
              <w:left w:val="nil"/>
              <w:bottom w:val="single" w:sz="8" w:space="0" w:color="auto"/>
              <w:right w:val="nil"/>
            </w:tcBorders>
            <w:shd w:val="clear" w:color="000000" w:fill="FFFFFF"/>
            <w:noWrap/>
            <w:textDirection w:val="btLr"/>
            <w:vAlign w:val="center"/>
            <w:hideMark/>
          </w:tcPr>
          <w:p w14:paraId="02425580" w14:textId="77777777" w:rsidR="00F6708C" w:rsidRPr="00B90D30" w:rsidRDefault="00F6708C" w:rsidP="00F6708C">
            <w:pPr>
              <w:spacing w:after="0" w:line="240" w:lineRule="auto"/>
              <w:jc w:val="center"/>
              <w:rPr>
                <w:rFonts w:ascii="Times New Roman" w:eastAsia="Times New Roman" w:hAnsi="Times New Roman" w:cs="Times New Roman"/>
                <w:color w:val="000000"/>
                <w:sz w:val="14"/>
                <w:szCs w:val="14"/>
                <w:lang w:eastAsia="es-ES"/>
              </w:rPr>
            </w:pPr>
            <w:r w:rsidRPr="00B90D30">
              <w:rPr>
                <w:rFonts w:ascii="Times New Roman" w:eastAsia="Times New Roman" w:hAnsi="Times New Roman" w:cs="Times New Roman"/>
                <w:color w:val="000000"/>
                <w:sz w:val="14"/>
                <w:szCs w:val="14"/>
                <w:lang w:eastAsia="es-ES"/>
              </w:rPr>
              <w:t>Noviembre</w:t>
            </w:r>
          </w:p>
        </w:tc>
        <w:tc>
          <w:tcPr>
            <w:tcW w:w="523" w:type="dxa"/>
            <w:tcBorders>
              <w:top w:val="nil"/>
              <w:left w:val="nil"/>
              <w:bottom w:val="single" w:sz="8" w:space="0" w:color="auto"/>
              <w:right w:val="nil"/>
            </w:tcBorders>
            <w:shd w:val="clear" w:color="000000" w:fill="FFFFFF"/>
            <w:noWrap/>
            <w:textDirection w:val="btLr"/>
            <w:vAlign w:val="center"/>
            <w:hideMark/>
          </w:tcPr>
          <w:p w14:paraId="45D6B15E" w14:textId="77777777" w:rsidR="00F6708C" w:rsidRPr="00B90D30" w:rsidRDefault="00F6708C" w:rsidP="00F6708C">
            <w:pPr>
              <w:spacing w:after="0" w:line="240" w:lineRule="auto"/>
              <w:jc w:val="center"/>
              <w:rPr>
                <w:rFonts w:ascii="Times New Roman" w:eastAsia="Times New Roman" w:hAnsi="Times New Roman" w:cs="Times New Roman"/>
                <w:color w:val="000000"/>
                <w:sz w:val="14"/>
                <w:szCs w:val="14"/>
                <w:lang w:eastAsia="es-ES"/>
              </w:rPr>
            </w:pPr>
            <w:r w:rsidRPr="00B90D30">
              <w:rPr>
                <w:rFonts w:ascii="Times New Roman" w:eastAsia="Times New Roman" w:hAnsi="Times New Roman" w:cs="Times New Roman"/>
                <w:color w:val="000000"/>
                <w:sz w:val="14"/>
                <w:szCs w:val="14"/>
                <w:lang w:eastAsia="es-ES"/>
              </w:rPr>
              <w:t>Diciembre</w:t>
            </w:r>
          </w:p>
        </w:tc>
      </w:tr>
      <w:tr w:rsidR="00F6708C" w:rsidRPr="00D30CFE" w14:paraId="602F58FD" w14:textId="77777777" w:rsidTr="007863E9">
        <w:trPr>
          <w:gridAfter w:val="1"/>
          <w:wAfter w:w="10" w:type="dxa"/>
          <w:trHeight w:val="162"/>
          <w:jc w:val="center"/>
        </w:trPr>
        <w:tc>
          <w:tcPr>
            <w:tcW w:w="470" w:type="dxa"/>
            <w:vMerge w:val="restart"/>
            <w:tcBorders>
              <w:top w:val="nil"/>
              <w:left w:val="nil"/>
              <w:bottom w:val="nil"/>
              <w:right w:val="nil"/>
            </w:tcBorders>
            <w:shd w:val="clear" w:color="000000" w:fill="FFFFFF"/>
            <w:noWrap/>
            <w:textDirection w:val="btLr"/>
            <w:vAlign w:val="center"/>
            <w:hideMark/>
          </w:tcPr>
          <w:p w14:paraId="594917DC"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Año</w:t>
            </w:r>
          </w:p>
        </w:tc>
        <w:tc>
          <w:tcPr>
            <w:tcW w:w="1029" w:type="dxa"/>
            <w:tcBorders>
              <w:top w:val="nil"/>
              <w:left w:val="nil"/>
              <w:bottom w:val="nil"/>
              <w:right w:val="single" w:sz="8" w:space="0" w:color="auto"/>
            </w:tcBorders>
            <w:shd w:val="clear" w:color="000000" w:fill="FFFFFF"/>
            <w:noWrap/>
            <w:vAlign w:val="center"/>
            <w:hideMark/>
          </w:tcPr>
          <w:p w14:paraId="64253321"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2010</w:t>
            </w:r>
          </w:p>
        </w:tc>
        <w:tc>
          <w:tcPr>
            <w:tcW w:w="523" w:type="dxa"/>
            <w:tcBorders>
              <w:top w:val="nil"/>
              <w:left w:val="nil"/>
              <w:bottom w:val="nil"/>
              <w:right w:val="nil"/>
            </w:tcBorders>
            <w:shd w:val="clear" w:color="000000" w:fill="FFFFFF"/>
            <w:noWrap/>
            <w:vAlign w:val="center"/>
            <w:hideMark/>
          </w:tcPr>
          <w:p w14:paraId="02275B86"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0</w:t>
            </w:r>
          </w:p>
        </w:tc>
        <w:tc>
          <w:tcPr>
            <w:tcW w:w="523" w:type="dxa"/>
            <w:tcBorders>
              <w:top w:val="nil"/>
              <w:left w:val="nil"/>
              <w:bottom w:val="nil"/>
              <w:right w:val="nil"/>
            </w:tcBorders>
            <w:shd w:val="clear" w:color="000000" w:fill="FFFFFF"/>
            <w:noWrap/>
            <w:vAlign w:val="center"/>
            <w:hideMark/>
          </w:tcPr>
          <w:p w14:paraId="3AEED1B0"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1</w:t>
            </w:r>
          </w:p>
        </w:tc>
        <w:tc>
          <w:tcPr>
            <w:tcW w:w="523" w:type="dxa"/>
            <w:tcBorders>
              <w:top w:val="nil"/>
              <w:left w:val="nil"/>
              <w:bottom w:val="nil"/>
              <w:right w:val="nil"/>
            </w:tcBorders>
            <w:shd w:val="clear" w:color="000000" w:fill="FFFFFF"/>
            <w:noWrap/>
            <w:vAlign w:val="center"/>
            <w:hideMark/>
          </w:tcPr>
          <w:p w14:paraId="76EF14A5"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1</w:t>
            </w:r>
          </w:p>
        </w:tc>
        <w:tc>
          <w:tcPr>
            <w:tcW w:w="588" w:type="dxa"/>
            <w:tcBorders>
              <w:top w:val="nil"/>
              <w:left w:val="nil"/>
              <w:bottom w:val="nil"/>
              <w:right w:val="nil"/>
            </w:tcBorders>
            <w:shd w:val="clear" w:color="000000" w:fill="FFFFFF"/>
            <w:noWrap/>
            <w:vAlign w:val="center"/>
            <w:hideMark/>
          </w:tcPr>
          <w:p w14:paraId="4CF7E844"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13</w:t>
            </w:r>
          </w:p>
        </w:tc>
        <w:tc>
          <w:tcPr>
            <w:tcW w:w="768" w:type="dxa"/>
            <w:tcBorders>
              <w:top w:val="nil"/>
              <w:left w:val="nil"/>
              <w:bottom w:val="nil"/>
              <w:right w:val="nil"/>
            </w:tcBorders>
            <w:shd w:val="clear" w:color="000000" w:fill="FFFFFF"/>
            <w:noWrap/>
            <w:vAlign w:val="center"/>
            <w:hideMark/>
          </w:tcPr>
          <w:p w14:paraId="5D9648F3"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118</w:t>
            </w:r>
          </w:p>
        </w:tc>
        <w:tc>
          <w:tcPr>
            <w:tcW w:w="768" w:type="dxa"/>
            <w:tcBorders>
              <w:top w:val="nil"/>
              <w:left w:val="nil"/>
              <w:bottom w:val="nil"/>
              <w:right w:val="nil"/>
            </w:tcBorders>
            <w:shd w:val="clear" w:color="000000" w:fill="FFFFFF"/>
            <w:noWrap/>
            <w:vAlign w:val="center"/>
            <w:hideMark/>
          </w:tcPr>
          <w:p w14:paraId="697980B8"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199</w:t>
            </w:r>
          </w:p>
        </w:tc>
        <w:tc>
          <w:tcPr>
            <w:tcW w:w="523" w:type="dxa"/>
            <w:tcBorders>
              <w:top w:val="nil"/>
              <w:left w:val="nil"/>
              <w:bottom w:val="nil"/>
              <w:right w:val="nil"/>
            </w:tcBorders>
            <w:shd w:val="clear" w:color="000000" w:fill="FFFFFF"/>
            <w:noWrap/>
            <w:vAlign w:val="center"/>
            <w:hideMark/>
          </w:tcPr>
          <w:p w14:paraId="754C0901"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2</w:t>
            </w:r>
          </w:p>
        </w:tc>
        <w:tc>
          <w:tcPr>
            <w:tcW w:w="523" w:type="dxa"/>
            <w:tcBorders>
              <w:top w:val="nil"/>
              <w:left w:val="nil"/>
              <w:bottom w:val="nil"/>
              <w:right w:val="nil"/>
            </w:tcBorders>
            <w:shd w:val="clear" w:color="000000" w:fill="FFFFFF"/>
            <w:noWrap/>
            <w:vAlign w:val="center"/>
            <w:hideMark/>
          </w:tcPr>
          <w:p w14:paraId="0102565D"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0</w:t>
            </w:r>
          </w:p>
        </w:tc>
        <w:tc>
          <w:tcPr>
            <w:tcW w:w="523" w:type="dxa"/>
            <w:tcBorders>
              <w:top w:val="nil"/>
              <w:left w:val="nil"/>
              <w:bottom w:val="nil"/>
              <w:right w:val="nil"/>
            </w:tcBorders>
            <w:shd w:val="clear" w:color="000000" w:fill="FFFFFF"/>
            <w:noWrap/>
            <w:vAlign w:val="center"/>
            <w:hideMark/>
          </w:tcPr>
          <w:p w14:paraId="51B7EFF2"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0</w:t>
            </w:r>
          </w:p>
        </w:tc>
        <w:tc>
          <w:tcPr>
            <w:tcW w:w="523" w:type="dxa"/>
            <w:tcBorders>
              <w:top w:val="nil"/>
              <w:left w:val="nil"/>
              <w:bottom w:val="nil"/>
              <w:right w:val="nil"/>
            </w:tcBorders>
            <w:shd w:val="clear" w:color="000000" w:fill="FFFFFF"/>
            <w:noWrap/>
            <w:vAlign w:val="center"/>
            <w:hideMark/>
          </w:tcPr>
          <w:p w14:paraId="187CFFAB"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0</w:t>
            </w:r>
          </w:p>
        </w:tc>
        <w:tc>
          <w:tcPr>
            <w:tcW w:w="523" w:type="dxa"/>
            <w:tcBorders>
              <w:top w:val="nil"/>
              <w:left w:val="nil"/>
              <w:bottom w:val="nil"/>
              <w:right w:val="nil"/>
            </w:tcBorders>
            <w:shd w:val="clear" w:color="000000" w:fill="FFFFFF"/>
            <w:noWrap/>
            <w:vAlign w:val="center"/>
            <w:hideMark/>
          </w:tcPr>
          <w:p w14:paraId="0E68FF84"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2</w:t>
            </w:r>
          </w:p>
        </w:tc>
        <w:tc>
          <w:tcPr>
            <w:tcW w:w="523" w:type="dxa"/>
            <w:tcBorders>
              <w:top w:val="nil"/>
              <w:left w:val="nil"/>
              <w:bottom w:val="nil"/>
              <w:right w:val="nil"/>
            </w:tcBorders>
            <w:shd w:val="clear" w:color="000000" w:fill="FFFFFF"/>
            <w:noWrap/>
            <w:vAlign w:val="center"/>
            <w:hideMark/>
          </w:tcPr>
          <w:p w14:paraId="6D1F2DDD"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3</w:t>
            </w:r>
          </w:p>
        </w:tc>
      </w:tr>
      <w:tr w:rsidR="00F6708C" w:rsidRPr="00D30CFE" w14:paraId="7C5838BC" w14:textId="77777777" w:rsidTr="007863E9">
        <w:trPr>
          <w:gridAfter w:val="1"/>
          <w:wAfter w:w="10" w:type="dxa"/>
          <w:trHeight w:val="162"/>
          <w:jc w:val="center"/>
        </w:trPr>
        <w:tc>
          <w:tcPr>
            <w:tcW w:w="470" w:type="dxa"/>
            <w:vMerge/>
            <w:tcBorders>
              <w:top w:val="nil"/>
              <w:left w:val="nil"/>
              <w:bottom w:val="nil"/>
              <w:right w:val="nil"/>
            </w:tcBorders>
            <w:vAlign w:val="center"/>
            <w:hideMark/>
          </w:tcPr>
          <w:p w14:paraId="1375DCB8" w14:textId="77777777" w:rsidR="00F6708C" w:rsidRPr="00D30CFE" w:rsidRDefault="00F6708C" w:rsidP="00F6708C">
            <w:pPr>
              <w:spacing w:after="0" w:line="240" w:lineRule="auto"/>
              <w:rPr>
                <w:rFonts w:ascii="Times New Roman" w:eastAsia="Times New Roman" w:hAnsi="Times New Roman" w:cs="Times New Roman"/>
                <w:color w:val="000000"/>
                <w:sz w:val="20"/>
                <w:szCs w:val="20"/>
                <w:lang w:eastAsia="es-ES"/>
              </w:rPr>
            </w:pPr>
          </w:p>
        </w:tc>
        <w:tc>
          <w:tcPr>
            <w:tcW w:w="1029" w:type="dxa"/>
            <w:tcBorders>
              <w:top w:val="nil"/>
              <w:left w:val="nil"/>
              <w:bottom w:val="nil"/>
              <w:right w:val="single" w:sz="8" w:space="0" w:color="auto"/>
            </w:tcBorders>
            <w:shd w:val="clear" w:color="000000" w:fill="FFFFFF"/>
            <w:noWrap/>
            <w:vAlign w:val="center"/>
            <w:hideMark/>
          </w:tcPr>
          <w:p w14:paraId="2BA14D85"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2011</w:t>
            </w:r>
          </w:p>
        </w:tc>
        <w:tc>
          <w:tcPr>
            <w:tcW w:w="523" w:type="dxa"/>
            <w:tcBorders>
              <w:top w:val="nil"/>
              <w:left w:val="nil"/>
              <w:bottom w:val="nil"/>
              <w:right w:val="nil"/>
            </w:tcBorders>
            <w:shd w:val="clear" w:color="000000" w:fill="FFFFFF"/>
            <w:noWrap/>
            <w:vAlign w:val="center"/>
            <w:hideMark/>
          </w:tcPr>
          <w:p w14:paraId="6627B683"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2</w:t>
            </w:r>
          </w:p>
        </w:tc>
        <w:tc>
          <w:tcPr>
            <w:tcW w:w="523" w:type="dxa"/>
            <w:tcBorders>
              <w:top w:val="nil"/>
              <w:left w:val="nil"/>
              <w:bottom w:val="nil"/>
              <w:right w:val="nil"/>
            </w:tcBorders>
            <w:shd w:val="clear" w:color="000000" w:fill="FFFFFF"/>
            <w:noWrap/>
            <w:vAlign w:val="center"/>
            <w:hideMark/>
          </w:tcPr>
          <w:p w14:paraId="1C91BF92"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4</w:t>
            </w:r>
          </w:p>
        </w:tc>
        <w:tc>
          <w:tcPr>
            <w:tcW w:w="523" w:type="dxa"/>
            <w:tcBorders>
              <w:top w:val="nil"/>
              <w:left w:val="nil"/>
              <w:bottom w:val="nil"/>
              <w:right w:val="nil"/>
            </w:tcBorders>
            <w:shd w:val="clear" w:color="000000" w:fill="FFFFFF"/>
            <w:noWrap/>
            <w:vAlign w:val="center"/>
            <w:hideMark/>
          </w:tcPr>
          <w:p w14:paraId="1E6F00CF"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13</w:t>
            </w:r>
          </w:p>
        </w:tc>
        <w:tc>
          <w:tcPr>
            <w:tcW w:w="588" w:type="dxa"/>
            <w:tcBorders>
              <w:top w:val="nil"/>
              <w:left w:val="nil"/>
              <w:bottom w:val="nil"/>
              <w:right w:val="nil"/>
            </w:tcBorders>
            <w:shd w:val="clear" w:color="000000" w:fill="FFFFFF"/>
            <w:noWrap/>
            <w:vAlign w:val="center"/>
            <w:hideMark/>
          </w:tcPr>
          <w:p w14:paraId="237EC497"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37</w:t>
            </w:r>
          </w:p>
        </w:tc>
        <w:tc>
          <w:tcPr>
            <w:tcW w:w="768" w:type="dxa"/>
            <w:tcBorders>
              <w:top w:val="nil"/>
              <w:left w:val="nil"/>
              <w:bottom w:val="nil"/>
              <w:right w:val="nil"/>
            </w:tcBorders>
            <w:shd w:val="clear" w:color="000000" w:fill="FFFFFF"/>
            <w:noWrap/>
            <w:vAlign w:val="center"/>
            <w:hideMark/>
          </w:tcPr>
          <w:p w14:paraId="5148A1F5"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207</w:t>
            </w:r>
          </w:p>
        </w:tc>
        <w:tc>
          <w:tcPr>
            <w:tcW w:w="768" w:type="dxa"/>
            <w:tcBorders>
              <w:top w:val="nil"/>
              <w:left w:val="nil"/>
              <w:bottom w:val="nil"/>
              <w:right w:val="nil"/>
            </w:tcBorders>
            <w:shd w:val="clear" w:color="000000" w:fill="FFFFFF"/>
            <w:noWrap/>
            <w:vAlign w:val="center"/>
            <w:hideMark/>
          </w:tcPr>
          <w:p w14:paraId="6A7A0A52"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277</w:t>
            </w:r>
          </w:p>
        </w:tc>
        <w:tc>
          <w:tcPr>
            <w:tcW w:w="523" w:type="dxa"/>
            <w:tcBorders>
              <w:top w:val="nil"/>
              <w:left w:val="nil"/>
              <w:bottom w:val="nil"/>
              <w:right w:val="nil"/>
            </w:tcBorders>
            <w:shd w:val="clear" w:color="000000" w:fill="FFFFFF"/>
            <w:noWrap/>
            <w:vAlign w:val="center"/>
            <w:hideMark/>
          </w:tcPr>
          <w:p w14:paraId="66EACF38"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1</w:t>
            </w:r>
          </w:p>
        </w:tc>
        <w:tc>
          <w:tcPr>
            <w:tcW w:w="523" w:type="dxa"/>
            <w:tcBorders>
              <w:top w:val="nil"/>
              <w:left w:val="nil"/>
              <w:bottom w:val="nil"/>
              <w:right w:val="nil"/>
            </w:tcBorders>
            <w:shd w:val="clear" w:color="000000" w:fill="FFFFFF"/>
            <w:noWrap/>
            <w:vAlign w:val="center"/>
            <w:hideMark/>
          </w:tcPr>
          <w:p w14:paraId="591C729B"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0</w:t>
            </w:r>
          </w:p>
        </w:tc>
        <w:tc>
          <w:tcPr>
            <w:tcW w:w="523" w:type="dxa"/>
            <w:tcBorders>
              <w:top w:val="nil"/>
              <w:left w:val="nil"/>
              <w:bottom w:val="nil"/>
              <w:right w:val="nil"/>
            </w:tcBorders>
            <w:shd w:val="clear" w:color="000000" w:fill="FFFFFF"/>
            <w:noWrap/>
            <w:vAlign w:val="center"/>
            <w:hideMark/>
          </w:tcPr>
          <w:p w14:paraId="3365874A"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0</w:t>
            </w:r>
          </w:p>
        </w:tc>
        <w:tc>
          <w:tcPr>
            <w:tcW w:w="523" w:type="dxa"/>
            <w:tcBorders>
              <w:top w:val="nil"/>
              <w:left w:val="nil"/>
              <w:bottom w:val="nil"/>
              <w:right w:val="nil"/>
            </w:tcBorders>
            <w:shd w:val="clear" w:color="000000" w:fill="FFFFFF"/>
            <w:noWrap/>
            <w:vAlign w:val="center"/>
            <w:hideMark/>
          </w:tcPr>
          <w:p w14:paraId="5903F9B3"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0</w:t>
            </w:r>
          </w:p>
        </w:tc>
        <w:tc>
          <w:tcPr>
            <w:tcW w:w="523" w:type="dxa"/>
            <w:tcBorders>
              <w:top w:val="nil"/>
              <w:left w:val="nil"/>
              <w:bottom w:val="nil"/>
              <w:right w:val="nil"/>
            </w:tcBorders>
            <w:shd w:val="clear" w:color="000000" w:fill="FFFFFF"/>
            <w:noWrap/>
            <w:vAlign w:val="center"/>
            <w:hideMark/>
          </w:tcPr>
          <w:p w14:paraId="088F1D60"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1</w:t>
            </w:r>
          </w:p>
        </w:tc>
        <w:tc>
          <w:tcPr>
            <w:tcW w:w="523" w:type="dxa"/>
            <w:tcBorders>
              <w:top w:val="nil"/>
              <w:left w:val="nil"/>
              <w:bottom w:val="nil"/>
              <w:right w:val="nil"/>
            </w:tcBorders>
            <w:shd w:val="clear" w:color="000000" w:fill="FFFFFF"/>
            <w:noWrap/>
            <w:vAlign w:val="center"/>
            <w:hideMark/>
          </w:tcPr>
          <w:p w14:paraId="75669B14"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3</w:t>
            </w:r>
          </w:p>
        </w:tc>
      </w:tr>
      <w:tr w:rsidR="00F6708C" w:rsidRPr="00D30CFE" w14:paraId="285563ED" w14:textId="77777777" w:rsidTr="007863E9">
        <w:trPr>
          <w:gridAfter w:val="1"/>
          <w:wAfter w:w="10" w:type="dxa"/>
          <w:trHeight w:val="162"/>
          <w:jc w:val="center"/>
        </w:trPr>
        <w:tc>
          <w:tcPr>
            <w:tcW w:w="470" w:type="dxa"/>
            <w:vMerge/>
            <w:tcBorders>
              <w:top w:val="nil"/>
              <w:left w:val="nil"/>
              <w:bottom w:val="nil"/>
              <w:right w:val="nil"/>
            </w:tcBorders>
            <w:vAlign w:val="center"/>
            <w:hideMark/>
          </w:tcPr>
          <w:p w14:paraId="5F8588D8" w14:textId="77777777" w:rsidR="00F6708C" w:rsidRPr="00D30CFE" w:rsidRDefault="00F6708C" w:rsidP="00F6708C">
            <w:pPr>
              <w:spacing w:after="0" w:line="240" w:lineRule="auto"/>
              <w:rPr>
                <w:rFonts w:ascii="Times New Roman" w:eastAsia="Times New Roman" w:hAnsi="Times New Roman" w:cs="Times New Roman"/>
                <w:color w:val="000000"/>
                <w:sz w:val="20"/>
                <w:szCs w:val="20"/>
                <w:lang w:eastAsia="es-ES"/>
              </w:rPr>
            </w:pPr>
          </w:p>
        </w:tc>
        <w:tc>
          <w:tcPr>
            <w:tcW w:w="1029" w:type="dxa"/>
            <w:tcBorders>
              <w:top w:val="nil"/>
              <w:left w:val="nil"/>
              <w:bottom w:val="nil"/>
              <w:right w:val="single" w:sz="8" w:space="0" w:color="auto"/>
            </w:tcBorders>
            <w:shd w:val="clear" w:color="000000" w:fill="FFFFFF"/>
            <w:noWrap/>
            <w:vAlign w:val="center"/>
            <w:hideMark/>
          </w:tcPr>
          <w:p w14:paraId="20DFACC0"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2012</w:t>
            </w:r>
          </w:p>
        </w:tc>
        <w:tc>
          <w:tcPr>
            <w:tcW w:w="523" w:type="dxa"/>
            <w:tcBorders>
              <w:top w:val="nil"/>
              <w:left w:val="nil"/>
              <w:bottom w:val="nil"/>
              <w:right w:val="nil"/>
            </w:tcBorders>
            <w:shd w:val="clear" w:color="000000" w:fill="FFFFFF"/>
            <w:noWrap/>
            <w:vAlign w:val="center"/>
            <w:hideMark/>
          </w:tcPr>
          <w:p w14:paraId="3FF2F2E7"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3</w:t>
            </w:r>
          </w:p>
        </w:tc>
        <w:tc>
          <w:tcPr>
            <w:tcW w:w="523" w:type="dxa"/>
            <w:tcBorders>
              <w:top w:val="nil"/>
              <w:left w:val="nil"/>
              <w:bottom w:val="nil"/>
              <w:right w:val="nil"/>
            </w:tcBorders>
            <w:shd w:val="clear" w:color="000000" w:fill="FFFFFF"/>
            <w:noWrap/>
            <w:vAlign w:val="center"/>
            <w:hideMark/>
          </w:tcPr>
          <w:p w14:paraId="665D67C0"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0</w:t>
            </w:r>
          </w:p>
        </w:tc>
        <w:tc>
          <w:tcPr>
            <w:tcW w:w="523" w:type="dxa"/>
            <w:tcBorders>
              <w:top w:val="nil"/>
              <w:left w:val="nil"/>
              <w:bottom w:val="nil"/>
              <w:right w:val="nil"/>
            </w:tcBorders>
            <w:shd w:val="clear" w:color="000000" w:fill="FFFFFF"/>
            <w:noWrap/>
            <w:vAlign w:val="center"/>
            <w:hideMark/>
          </w:tcPr>
          <w:p w14:paraId="286216CE"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9</w:t>
            </w:r>
          </w:p>
        </w:tc>
        <w:tc>
          <w:tcPr>
            <w:tcW w:w="588" w:type="dxa"/>
            <w:tcBorders>
              <w:top w:val="nil"/>
              <w:left w:val="nil"/>
              <w:bottom w:val="nil"/>
              <w:right w:val="nil"/>
            </w:tcBorders>
            <w:shd w:val="clear" w:color="000000" w:fill="FFFFFF"/>
            <w:noWrap/>
            <w:vAlign w:val="center"/>
            <w:hideMark/>
          </w:tcPr>
          <w:p w14:paraId="56119F72"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64</w:t>
            </w:r>
          </w:p>
        </w:tc>
        <w:tc>
          <w:tcPr>
            <w:tcW w:w="768" w:type="dxa"/>
            <w:tcBorders>
              <w:top w:val="nil"/>
              <w:left w:val="nil"/>
              <w:bottom w:val="nil"/>
              <w:right w:val="nil"/>
            </w:tcBorders>
            <w:shd w:val="clear" w:color="000000" w:fill="FFFFFF"/>
            <w:noWrap/>
            <w:vAlign w:val="center"/>
            <w:hideMark/>
          </w:tcPr>
          <w:p w14:paraId="7D1EC49B"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239</w:t>
            </w:r>
          </w:p>
        </w:tc>
        <w:tc>
          <w:tcPr>
            <w:tcW w:w="768" w:type="dxa"/>
            <w:tcBorders>
              <w:top w:val="nil"/>
              <w:left w:val="nil"/>
              <w:bottom w:val="nil"/>
              <w:right w:val="nil"/>
            </w:tcBorders>
            <w:shd w:val="clear" w:color="000000" w:fill="FFFFFF"/>
            <w:noWrap/>
            <w:vAlign w:val="center"/>
            <w:hideMark/>
          </w:tcPr>
          <w:p w14:paraId="2069799A"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34</w:t>
            </w:r>
          </w:p>
        </w:tc>
        <w:tc>
          <w:tcPr>
            <w:tcW w:w="523" w:type="dxa"/>
            <w:tcBorders>
              <w:top w:val="nil"/>
              <w:left w:val="nil"/>
              <w:bottom w:val="nil"/>
              <w:right w:val="nil"/>
            </w:tcBorders>
            <w:shd w:val="clear" w:color="000000" w:fill="FFFFFF"/>
            <w:noWrap/>
            <w:vAlign w:val="center"/>
            <w:hideMark/>
          </w:tcPr>
          <w:p w14:paraId="096AD633"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0</w:t>
            </w:r>
          </w:p>
        </w:tc>
        <w:tc>
          <w:tcPr>
            <w:tcW w:w="523" w:type="dxa"/>
            <w:tcBorders>
              <w:top w:val="nil"/>
              <w:left w:val="nil"/>
              <w:bottom w:val="nil"/>
              <w:right w:val="nil"/>
            </w:tcBorders>
            <w:shd w:val="clear" w:color="000000" w:fill="FFFFFF"/>
            <w:noWrap/>
            <w:vAlign w:val="center"/>
            <w:hideMark/>
          </w:tcPr>
          <w:p w14:paraId="62A8206B"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0</w:t>
            </w:r>
          </w:p>
        </w:tc>
        <w:tc>
          <w:tcPr>
            <w:tcW w:w="523" w:type="dxa"/>
            <w:tcBorders>
              <w:top w:val="nil"/>
              <w:left w:val="nil"/>
              <w:bottom w:val="nil"/>
              <w:right w:val="nil"/>
            </w:tcBorders>
            <w:shd w:val="clear" w:color="000000" w:fill="FFFFFF"/>
            <w:noWrap/>
            <w:vAlign w:val="center"/>
            <w:hideMark/>
          </w:tcPr>
          <w:p w14:paraId="66F0840F"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0</w:t>
            </w:r>
          </w:p>
        </w:tc>
        <w:tc>
          <w:tcPr>
            <w:tcW w:w="523" w:type="dxa"/>
            <w:tcBorders>
              <w:top w:val="nil"/>
              <w:left w:val="nil"/>
              <w:bottom w:val="nil"/>
              <w:right w:val="nil"/>
            </w:tcBorders>
            <w:shd w:val="clear" w:color="000000" w:fill="FFFFFF"/>
            <w:noWrap/>
            <w:vAlign w:val="center"/>
            <w:hideMark/>
          </w:tcPr>
          <w:p w14:paraId="34070F76"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1</w:t>
            </w:r>
          </w:p>
        </w:tc>
        <w:tc>
          <w:tcPr>
            <w:tcW w:w="523" w:type="dxa"/>
            <w:tcBorders>
              <w:top w:val="nil"/>
              <w:left w:val="nil"/>
              <w:bottom w:val="nil"/>
              <w:right w:val="nil"/>
            </w:tcBorders>
            <w:shd w:val="clear" w:color="000000" w:fill="FFFFFF"/>
            <w:noWrap/>
            <w:vAlign w:val="center"/>
            <w:hideMark/>
          </w:tcPr>
          <w:p w14:paraId="0DE8FDCF"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1</w:t>
            </w:r>
          </w:p>
        </w:tc>
        <w:tc>
          <w:tcPr>
            <w:tcW w:w="523" w:type="dxa"/>
            <w:tcBorders>
              <w:top w:val="nil"/>
              <w:left w:val="nil"/>
              <w:bottom w:val="nil"/>
              <w:right w:val="nil"/>
            </w:tcBorders>
            <w:shd w:val="clear" w:color="000000" w:fill="FFFFFF"/>
            <w:noWrap/>
            <w:vAlign w:val="center"/>
            <w:hideMark/>
          </w:tcPr>
          <w:p w14:paraId="3E5D9CCE"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1</w:t>
            </w:r>
          </w:p>
        </w:tc>
      </w:tr>
      <w:tr w:rsidR="00F6708C" w:rsidRPr="00D30CFE" w14:paraId="745BD84C" w14:textId="77777777" w:rsidTr="007863E9">
        <w:trPr>
          <w:gridAfter w:val="1"/>
          <w:wAfter w:w="10" w:type="dxa"/>
          <w:trHeight w:val="162"/>
          <w:jc w:val="center"/>
        </w:trPr>
        <w:tc>
          <w:tcPr>
            <w:tcW w:w="470" w:type="dxa"/>
            <w:vMerge/>
            <w:tcBorders>
              <w:top w:val="nil"/>
              <w:left w:val="nil"/>
              <w:bottom w:val="nil"/>
              <w:right w:val="nil"/>
            </w:tcBorders>
            <w:vAlign w:val="center"/>
            <w:hideMark/>
          </w:tcPr>
          <w:p w14:paraId="6EE753CF" w14:textId="77777777" w:rsidR="00F6708C" w:rsidRPr="00D30CFE" w:rsidRDefault="00F6708C" w:rsidP="00F6708C">
            <w:pPr>
              <w:spacing w:after="0" w:line="240" w:lineRule="auto"/>
              <w:rPr>
                <w:rFonts w:ascii="Times New Roman" w:eastAsia="Times New Roman" w:hAnsi="Times New Roman" w:cs="Times New Roman"/>
                <w:color w:val="000000"/>
                <w:sz w:val="20"/>
                <w:szCs w:val="20"/>
                <w:lang w:eastAsia="es-ES"/>
              </w:rPr>
            </w:pPr>
          </w:p>
        </w:tc>
        <w:tc>
          <w:tcPr>
            <w:tcW w:w="1029" w:type="dxa"/>
            <w:tcBorders>
              <w:top w:val="nil"/>
              <w:left w:val="nil"/>
              <w:bottom w:val="nil"/>
              <w:right w:val="single" w:sz="8" w:space="0" w:color="auto"/>
            </w:tcBorders>
            <w:shd w:val="clear" w:color="000000" w:fill="FFFFFF"/>
            <w:noWrap/>
            <w:vAlign w:val="center"/>
            <w:hideMark/>
          </w:tcPr>
          <w:p w14:paraId="3B872ECD"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2013</w:t>
            </w:r>
          </w:p>
        </w:tc>
        <w:tc>
          <w:tcPr>
            <w:tcW w:w="523" w:type="dxa"/>
            <w:tcBorders>
              <w:top w:val="nil"/>
              <w:left w:val="nil"/>
              <w:bottom w:val="nil"/>
              <w:right w:val="nil"/>
            </w:tcBorders>
            <w:shd w:val="clear" w:color="000000" w:fill="FFFFFF"/>
            <w:noWrap/>
            <w:vAlign w:val="center"/>
            <w:hideMark/>
          </w:tcPr>
          <w:p w14:paraId="4C1B3907"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0</w:t>
            </w:r>
          </w:p>
        </w:tc>
        <w:tc>
          <w:tcPr>
            <w:tcW w:w="523" w:type="dxa"/>
            <w:tcBorders>
              <w:top w:val="nil"/>
              <w:left w:val="nil"/>
              <w:bottom w:val="nil"/>
              <w:right w:val="nil"/>
            </w:tcBorders>
            <w:shd w:val="clear" w:color="000000" w:fill="FFFFFF"/>
            <w:noWrap/>
            <w:vAlign w:val="center"/>
            <w:hideMark/>
          </w:tcPr>
          <w:p w14:paraId="4B67911E"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1</w:t>
            </w:r>
          </w:p>
        </w:tc>
        <w:tc>
          <w:tcPr>
            <w:tcW w:w="523" w:type="dxa"/>
            <w:tcBorders>
              <w:top w:val="nil"/>
              <w:left w:val="nil"/>
              <w:bottom w:val="nil"/>
              <w:right w:val="nil"/>
            </w:tcBorders>
            <w:shd w:val="clear" w:color="000000" w:fill="FFFFFF"/>
            <w:noWrap/>
            <w:vAlign w:val="center"/>
            <w:hideMark/>
          </w:tcPr>
          <w:p w14:paraId="5F3701FD"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12</w:t>
            </w:r>
          </w:p>
        </w:tc>
        <w:tc>
          <w:tcPr>
            <w:tcW w:w="588" w:type="dxa"/>
            <w:tcBorders>
              <w:top w:val="nil"/>
              <w:left w:val="nil"/>
              <w:bottom w:val="nil"/>
              <w:right w:val="nil"/>
            </w:tcBorders>
            <w:shd w:val="clear" w:color="000000" w:fill="FFFFFF"/>
            <w:noWrap/>
            <w:vAlign w:val="center"/>
            <w:hideMark/>
          </w:tcPr>
          <w:p w14:paraId="5C543BCC"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43</w:t>
            </w:r>
          </w:p>
        </w:tc>
        <w:tc>
          <w:tcPr>
            <w:tcW w:w="768" w:type="dxa"/>
            <w:tcBorders>
              <w:top w:val="nil"/>
              <w:left w:val="nil"/>
              <w:bottom w:val="nil"/>
              <w:right w:val="nil"/>
            </w:tcBorders>
            <w:shd w:val="clear" w:color="000000" w:fill="FFFFFF"/>
            <w:noWrap/>
            <w:vAlign w:val="center"/>
            <w:hideMark/>
          </w:tcPr>
          <w:p w14:paraId="2686E8BD"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322</w:t>
            </w:r>
          </w:p>
        </w:tc>
        <w:tc>
          <w:tcPr>
            <w:tcW w:w="768" w:type="dxa"/>
            <w:tcBorders>
              <w:top w:val="nil"/>
              <w:left w:val="nil"/>
              <w:bottom w:val="nil"/>
              <w:right w:val="nil"/>
            </w:tcBorders>
            <w:shd w:val="clear" w:color="000000" w:fill="FFFFFF"/>
            <w:noWrap/>
            <w:vAlign w:val="center"/>
            <w:hideMark/>
          </w:tcPr>
          <w:p w14:paraId="209B5628"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294</w:t>
            </w:r>
          </w:p>
        </w:tc>
        <w:tc>
          <w:tcPr>
            <w:tcW w:w="523" w:type="dxa"/>
            <w:tcBorders>
              <w:top w:val="nil"/>
              <w:left w:val="nil"/>
              <w:bottom w:val="nil"/>
              <w:right w:val="nil"/>
            </w:tcBorders>
            <w:shd w:val="clear" w:color="000000" w:fill="FFFFFF"/>
            <w:noWrap/>
            <w:vAlign w:val="center"/>
            <w:hideMark/>
          </w:tcPr>
          <w:p w14:paraId="0244F88E"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5</w:t>
            </w:r>
          </w:p>
        </w:tc>
        <w:tc>
          <w:tcPr>
            <w:tcW w:w="523" w:type="dxa"/>
            <w:tcBorders>
              <w:top w:val="nil"/>
              <w:left w:val="nil"/>
              <w:bottom w:val="nil"/>
              <w:right w:val="nil"/>
            </w:tcBorders>
            <w:shd w:val="clear" w:color="000000" w:fill="FFFFFF"/>
            <w:noWrap/>
            <w:vAlign w:val="center"/>
            <w:hideMark/>
          </w:tcPr>
          <w:p w14:paraId="2AFFFFA8"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0</w:t>
            </w:r>
          </w:p>
        </w:tc>
        <w:tc>
          <w:tcPr>
            <w:tcW w:w="523" w:type="dxa"/>
            <w:tcBorders>
              <w:top w:val="nil"/>
              <w:left w:val="nil"/>
              <w:bottom w:val="nil"/>
              <w:right w:val="nil"/>
            </w:tcBorders>
            <w:shd w:val="clear" w:color="000000" w:fill="FFFFFF"/>
            <w:noWrap/>
            <w:vAlign w:val="center"/>
            <w:hideMark/>
          </w:tcPr>
          <w:p w14:paraId="39FF9FFC"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0</w:t>
            </w:r>
          </w:p>
        </w:tc>
        <w:tc>
          <w:tcPr>
            <w:tcW w:w="523" w:type="dxa"/>
            <w:tcBorders>
              <w:top w:val="nil"/>
              <w:left w:val="nil"/>
              <w:bottom w:val="nil"/>
              <w:right w:val="nil"/>
            </w:tcBorders>
            <w:shd w:val="clear" w:color="000000" w:fill="FFFFFF"/>
            <w:noWrap/>
            <w:vAlign w:val="center"/>
            <w:hideMark/>
          </w:tcPr>
          <w:p w14:paraId="1EA949C3"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0</w:t>
            </w:r>
          </w:p>
        </w:tc>
        <w:tc>
          <w:tcPr>
            <w:tcW w:w="523" w:type="dxa"/>
            <w:tcBorders>
              <w:top w:val="nil"/>
              <w:left w:val="nil"/>
              <w:bottom w:val="nil"/>
              <w:right w:val="nil"/>
            </w:tcBorders>
            <w:shd w:val="clear" w:color="000000" w:fill="FFFFFF"/>
            <w:noWrap/>
            <w:vAlign w:val="center"/>
            <w:hideMark/>
          </w:tcPr>
          <w:p w14:paraId="5F7F6EB1"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2</w:t>
            </w:r>
          </w:p>
        </w:tc>
        <w:tc>
          <w:tcPr>
            <w:tcW w:w="523" w:type="dxa"/>
            <w:tcBorders>
              <w:top w:val="nil"/>
              <w:left w:val="nil"/>
              <w:bottom w:val="nil"/>
              <w:right w:val="nil"/>
            </w:tcBorders>
            <w:shd w:val="clear" w:color="000000" w:fill="FFFFFF"/>
            <w:noWrap/>
            <w:vAlign w:val="center"/>
            <w:hideMark/>
          </w:tcPr>
          <w:p w14:paraId="36C666A0"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0</w:t>
            </w:r>
          </w:p>
        </w:tc>
      </w:tr>
      <w:tr w:rsidR="00F6708C" w:rsidRPr="00D30CFE" w14:paraId="5BB9B920" w14:textId="77777777" w:rsidTr="007863E9">
        <w:trPr>
          <w:gridAfter w:val="1"/>
          <w:wAfter w:w="10" w:type="dxa"/>
          <w:trHeight w:val="162"/>
          <w:jc w:val="center"/>
        </w:trPr>
        <w:tc>
          <w:tcPr>
            <w:tcW w:w="470" w:type="dxa"/>
            <w:vMerge/>
            <w:tcBorders>
              <w:top w:val="nil"/>
              <w:left w:val="nil"/>
              <w:bottom w:val="nil"/>
              <w:right w:val="nil"/>
            </w:tcBorders>
            <w:vAlign w:val="center"/>
            <w:hideMark/>
          </w:tcPr>
          <w:p w14:paraId="0285C317" w14:textId="77777777" w:rsidR="00F6708C" w:rsidRPr="00D30CFE" w:rsidRDefault="00F6708C" w:rsidP="00F6708C">
            <w:pPr>
              <w:spacing w:after="0" w:line="240" w:lineRule="auto"/>
              <w:rPr>
                <w:rFonts w:ascii="Times New Roman" w:eastAsia="Times New Roman" w:hAnsi="Times New Roman" w:cs="Times New Roman"/>
                <w:color w:val="000000"/>
                <w:sz w:val="20"/>
                <w:szCs w:val="20"/>
                <w:lang w:eastAsia="es-ES"/>
              </w:rPr>
            </w:pPr>
          </w:p>
        </w:tc>
        <w:tc>
          <w:tcPr>
            <w:tcW w:w="1029" w:type="dxa"/>
            <w:tcBorders>
              <w:top w:val="nil"/>
              <w:left w:val="nil"/>
              <w:bottom w:val="nil"/>
              <w:right w:val="single" w:sz="8" w:space="0" w:color="auto"/>
            </w:tcBorders>
            <w:shd w:val="clear" w:color="000000" w:fill="FFFFFF"/>
            <w:noWrap/>
            <w:vAlign w:val="center"/>
            <w:hideMark/>
          </w:tcPr>
          <w:p w14:paraId="6099F6FC"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2014</w:t>
            </w:r>
          </w:p>
        </w:tc>
        <w:tc>
          <w:tcPr>
            <w:tcW w:w="523" w:type="dxa"/>
            <w:tcBorders>
              <w:top w:val="nil"/>
              <w:left w:val="nil"/>
              <w:bottom w:val="nil"/>
              <w:right w:val="nil"/>
            </w:tcBorders>
            <w:shd w:val="clear" w:color="000000" w:fill="FFFFFF"/>
            <w:noWrap/>
            <w:vAlign w:val="center"/>
            <w:hideMark/>
          </w:tcPr>
          <w:p w14:paraId="0DA51325"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0</w:t>
            </w:r>
          </w:p>
        </w:tc>
        <w:tc>
          <w:tcPr>
            <w:tcW w:w="523" w:type="dxa"/>
            <w:tcBorders>
              <w:top w:val="nil"/>
              <w:left w:val="nil"/>
              <w:bottom w:val="nil"/>
              <w:right w:val="nil"/>
            </w:tcBorders>
            <w:shd w:val="clear" w:color="000000" w:fill="FFFFFF"/>
            <w:noWrap/>
            <w:vAlign w:val="center"/>
            <w:hideMark/>
          </w:tcPr>
          <w:p w14:paraId="10DC24A6"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3</w:t>
            </w:r>
          </w:p>
        </w:tc>
        <w:tc>
          <w:tcPr>
            <w:tcW w:w="523" w:type="dxa"/>
            <w:tcBorders>
              <w:top w:val="nil"/>
              <w:left w:val="nil"/>
              <w:bottom w:val="nil"/>
              <w:right w:val="nil"/>
            </w:tcBorders>
            <w:shd w:val="clear" w:color="000000" w:fill="FFFFFF"/>
            <w:noWrap/>
            <w:vAlign w:val="center"/>
            <w:hideMark/>
          </w:tcPr>
          <w:p w14:paraId="68769C3D"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1</w:t>
            </w:r>
          </w:p>
        </w:tc>
        <w:tc>
          <w:tcPr>
            <w:tcW w:w="588" w:type="dxa"/>
            <w:tcBorders>
              <w:top w:val="nil"/>
              <w:left w:val="nil"/>
              <w:bottom w:val="nil"/>
              <w:right w:val="nil"/>
            </w:tcBorders>
            <w:shd w:val="clear" w:color="000000" w:fill="FFFFFF"/>
            <w:noWrap/>
            <w:vAlign w:val="center"/>
            <w:hideMark/>
          </w:tcPr>
          <w:p w14:paraId="2954C93F"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84</w:t>
            </w:r>
          </w:p>
        </w:tc>
        <w:tc>
          <w:tcPr>
            <w:tcW w:w="768" w:type="dxa"/>
            <w:tcBorders>
              <w:top w:val="nil"/>
              <w:left w:val="nil"/>
              <w:bottom w:val="nil"/>
              <w:right w:val="nil"/>
            </w:tcBorders>
            <w:shd w:val="clear" w:color="000000" w:fill="FFFFFF"/>
            <w:noWrap/>
            <w:vAlign w:val="center"/>
            <w:hideMark/>
          </w:tcPr>
          <w:p w14:paraId="34B93DBE"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350</w:t>
            </w:r>
          </w:p>
        </w:tc>
        <w:tc>
          <w:tcPr>
            <w:tcW w:w="768" w:type="dxa"/>
            <w:tcBorders>
              <w:top w:val="nil"/>
              <w:left w:val="nil"/>
              <w:bottom w:val="nil"/>
              <w:right w:val="nil"/>
            </w:tcBorders>
            <w:shd w:val="clear" w:color="000000" w:fill="FFFFFF"/>
            <w:noWrap/>
            <w:vAlign w:val="center"/>
            <w:hideMark/>
          </w:tcPr>
          <w:p w14:paraId="41828348"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57</w:t>
            </w:r>
          </w:p>
        </w:tc>
        <w:tc>
          <w:tcPr>
            <w:tcW w:w="523" w:type="dxa"/>
            <w:tcBorders>
              <w:top w:val="nil"/>
              <w:left w:val="nil"/>
              <w:bottom w:val="nil"/>
              <w:right w:val="nil"/>
            </w:tcBorders>
            <w:shd w:val="clear" w:color="000000" w:fill="FFFFFF"/>
            <w:noWrap/>
            <w:vAlign w:val="center"/>
            <w:hideMark/>
          </w:tcPr>
          <w:p w14:paraId="46F33227"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1</w:t>
            </w:r>
          </w:p>
        </w:tc>
        <w:tc>
          <w:tcPr>
            <w:tcW w:w="523" w:type="dxa"/>
            <w:tcBorders>
              <w:top w:val="nil"/>
              <w:left w:val="nil"/>
              <w:bottom w:val="nil"/>
              <w:right w:val="nil"/>
            </w:tcBorders>
            <w:shd w:val="clear" w:color="000000" w:fill="FFFFFF"/>
            <w:noWrap/>
            <w:vAlign w:val="center"/>
            <w:hideMark/>
          </w:tcPr>
          <w:p w14:paraId="7AD7E991"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1</w:t>
            </w:r>
          </w:p>
        </w:tc>
        <w:tc>
          <w:tcPr>
            <w:tcW w:w="523" w:type="dxa"/>
            <w:tcBorders>
              <w:top w:val="nil"/>
              <w:left w:val="nil"/>
              <w:bottom w:val="nil"/>
              <w:right w:val="nil"/>
            </w:tcBorders>
            <w:shd w:val="clear" w:color="000000" w:fill="FFFFFF"/>
            <w:noWrap/>
            <w:vAlign w:val="center"/>
            <w:hideMark/>
          </w:tcPr>
          <w:p w14:paraId="482852FE"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0</w:t>
            </w:r>
          </w:p>
        </w:tc>
        <w:tc>
          <w:tcPr>
            <w:tcW w:w="523" w:type="dxa"/>
            <w:tcBorders>
              <w:top w:val="nil"/>
              <w:left w:val="nil"/>
              <w:bottom w:val="nil"/>
              <w:right w:val="nil"/>
            </w:tcBorders>
            <w:shd w:val="clear" w:color="000000" w:fill="FFFFFF"/>
            <w:noWrap/>
            <w:vAlign w:val="center"/>
            <w:hideMark/>
          </w:tcPr>
          <w:p w14:paraId="4E04A2BB"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0</w:t>
            </w:r>
          </w:p>
        </w:tc>
        <w:tc>
          <w:tcPr>
            <w:tcW w:w="523" w:type="dxa"/>
            <w:tcBorders>
              <w:top w:val="nil"/>
              <w:left w:val="nil"/>
              <w:bottom w:val="nil"/>
              <w:right w:val="nil"/>
            </w:tcBorders>
            <w:shd w:val="clear" w:color="000000" w:fill="FFFFFF"/>
            <w:noWrap/>
            <w:vAlign w:val="center"/>
            <w:hideMark/>
          </w:tcPr>
          <w:p w14:paraId="22E3AC36"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0</w:t>
            </w:r>
          </w:p>
        </w:tc>
        <w:tc>
          <w:tcPr>
            <w:tcW w:w="523" w:type="dxa"/>
            <w:tcBorders>
              <w:top w:val="nil"/>
              <w:left w:val="nil"/>
              <w:bottom w:val="nil"/>
              <w:right w:val="nil"/>
            </w:tcBorders>
            <w:shd w:val="clear" w:color="000000" w:fill="FFFFFF"/>
            <w:noWrap/>
            <w:vAlign w:val="center"/>
            <w:hideMark/>
          </w:tcPr>
          <w:p w14:paraId="13526A03"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0</w:t>
            </w:r>
          </w:p>
        </w:tc>
      </w:tr>
      <w:tr w:rsidR="00F6708C" w:rsidRPr="00D30CFE" w14:paraId="3F4431BC" w14:textId="77777777" w:rsidTr="007863E9">
        <w:trPr>
          <w:gridAfter w:val="1"/>
          <w:wAfter w:w="10" w:type="dxa"/>
          <w:trHeight w:val="162"/>
          <w:jc w:val="center"/>
        </w:trPr>
        <w:tc>
          <w:tcPr>
            <w:tcW w:w="470" w:type="dxa"/>
            <w:vMerge/>
            <w:tcBorders>
              <w:top w:val="nil"/>
              <w:left w:val="nil"/>
              <w:bottom w:val="nil"/>
              <w:right w:val="nil"/>
            </w:tcBorders>
            <w:vAlign w:val="center"/>
            <w:hideMark/>
          </w:tcPr>
          <w:p w14:paraId="7EFFD7C3" w14:textId="77777777" w:rsidR="00F6708C" w:rsidRPr="00D30CFE" w:rsidRDefault="00F6708C" w:rsidP="00F6708C">
            <w:pPr>
              <w:spacing w:after="0" w:line="240" w:lineRule="auto"/>
              <w:rPr>
                <w:rFonts w:ascii="Times New Roman" w:eastAsia="Times New Roman" w:hAnsi="Times New Roman" w:cs="Times New Roman"/>
                <w:color w:val="000000"/>
                <w:sz w:val="20"/>
                <w:szCs w:val="20"/>
                <w:lang w:eastAsia="es-ES"/>
              </w:rPr>
            </w:pPr>
          </w:p>
        </w:tc>
        <w:tc>
          <w:tcPr>
            <w:tcW w:w="1029" w:type="dxa"/>
            <w:tcBorders>
              <w:top w:val="nil"/>
              <w:left w:val="nil"/>
              <w:bottom w:val="nil"/>
              <w:right w:val="single" w:sz="8" w:space="0" w:color="auto"/>
            </w:tcBorders>
            <w:shd w:val="clear" w:color="000000" w:fill="FFFFFF"/>
            <w:noWrap/>
            <w:vAlign w:val="center"/>
            <w:hideMark/>
          </w:tcPr>
          <w:p w14:paraId="38055D8F"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2015</w:t>
            </w:r>
          </w:p>
        </w:tc>
        <w:tc>
          <w:tcPr>
            <w:tcW w:w="523" w:type="dxa"/>
            <w:tcBorders>
              <w:top w:val="nil"/>
              <w:left w:val="nil"/>
              <w:bottom w:val="nil"/>
              <w:right w:val="nil"/>
            </w:tcBorders>
            <w:shd w:val="clear" w:color="000000" w:fill="FFFFFF"/>
            <w:noWrap/>
            <w:vAlign w:val="center"/>
            <w:hideMark/>
          </w:tcPr>
          <w:p w14:paraId="40E30B65"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0</w:t>
            </w:r>
          </w:p>
        </w:tc>
        <w:tc>
          <w:tcPr>
            <w:tcW w:w="523" w:type="dxa"/>
            <w:tcBorders>
              <w:top w:val="nil"/>
              <w:left w:val="nil"/>
              <w:bottom w:val="nil"/>
              <w:right w:val="nil"/>
            </w:tcBorders>
            <w:shd w:val="clear" w:color="000000" w:fill="FFFFFF"/>
            <w:noWrap/>
            <w:vAlign w:val="center"/>
            <w:hideMark/>
          </w:tcPr>
          <w:p w14:paraId="6138F05D"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5</w:t>
            </w:r>
          </w:p>
        </w:tc>
        <w:tc>
          <w:tcPr>
            <w:tcW w:w="523" w:type="dxa"/>
            <w:tcBorders>
              <w:top w:val="nil"/>
              <w:left w:val="nil"/>
              <w:bottom w:val="nil"/>
              <w:right w:val="nil"/>
            </w:tcBorders>
            <w:shd w:val="clear" w:color="000000" w:fill="FFFFFF"/>
            <w:noWrap/>
            <w:vAlign w:val="center"/>
            <w:hideMark/>
          </w:tcPr>
          <w:p w14:paraId="606A1559"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1</w:t>
            </w:r>
          </w:p>
        </w:tc>
        <w:tc>
          <w:tcPr>
            <w:tcW w:w="588" w:type="dxa"/>
            <w:tcBorders>
              <w:top w:val="nil"/>
              <w:left w:val="nil"/>
              <w:bottom w:val="nil"/>
              <w:right w:val="nil"/>
            </w:tcBorders>
            <w:shd w:val="clear" w:color="000000" w:fill="FFFFFF"/>
            <w:noWrap/>
            <w:vAlign w:val="center"/>
            <w:hideMark/>
          </w:tcPr>
          <w:p w14:paraId="60C1D0F2"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22</w:t>
            </w:r>
          </w:p>
        </w:tc>
        <w:tc>
          <w:tcPr>
            <w:tcW w:w="768" w:type="dxa"/>
            <w:tcBorders>
              <w:top w:val="nil"/>
              <w:left w:val="nil"/>
              <w:bottom w:val="nil"/>
              <w:right w:val="nil"/>
            </w:tcBorders>
            <w:shd w:val="clear" w:color="000000" w:fill="FFFFFF"/>
            <w:noWrap/>
            <w:vAlign w:val="center"/>
            <w:hideMark/>
          </w:tcPr>
          <w:p w14:paraId="0679B70C"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437</w:t>
            </w:r>
          </w:p>
        </w:tc>
        <w:tc>
          <w:tcPr>
            <w:tcW w:w="768" w:type="dxa"/>
            <w:tcBorders>
              <w:top w:val="nil"/>
              <w:left w:val="nil"/>
              <w:bottom w:val="nil"/>
              <w:right w:val="nil"/>
            </w:tcBorders>
            <w:shd w:val="clear" w:color="000000" w:fill="FFFFFF"/>
            <w:noWrap/>
            <w:vAlign w:val="center"/>
            <w:hideMark/>
          </w:tcPr>
          <w:p w14:paraId="067006C1"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122</w:t>
            </w:r>
          </w:p>
        </w:tc>
        <w:tc>
          <w:tcPr>
            <w:tcW w:w="523" w:type="dxa"/>
            <w:tcBorders>
              <w:top w:val="nil"/>
              <w:left w:val="nil"/>
              <w:bottom w:val="nil"/>
              <w:right w:val="nil"/>
            </w:tcBorders>
            <w:shd w:val="clear" w:color="000000" w:fill="FFFFFF"/>
            <w:noWrap/>
            <w:vAlign w:val="center"/>
            <w:hideMark/>
          </w:tcPr>
          <w:p w14:paraId="12BFC0DB"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20</w:t>
            </w:r>
          </w:p>
        </w:tc>
        <w:tc>
          <w:tcPr>
            <w:tcW w:w="523" w:type="dxa"/>
            <w:tcBorders>
              <w:top w:val="nil"/>
              <w:left w:val="nil"/>
              <w:bottom w:val="nil"/>
              <w:right w:val="nil"/>
            </w:tcBorders>
            <w:shd w:val="clear" w:color="000000" w:fill="FFFFFF"/>
            <w:noWrap/>
            <w:vAlign w:val="center"/>
            <w:hideMark/>
          </w:tcPr>
          <w:p w14:paraId="61564183"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2</w:t>
            </w:r>
          </w:p>
        </w:tc>
        <w:tc>
          <w:tcPr>
            <w:tcW w:w="523" w:type="dxa"/>
            <w:tcBorders>
              <w:top w:val="nil"/>
              <w:left w:val="nil"/>
              <w:bottom w:val="nil"/>
              <w:right w:val="nil"/>
            </w:tcBorders>
            <w:shd w:val="clear" w:color="000000" w:fill="FFFFFF"/>
            <w:noWrap/>
            <w:vAlign w:val="center"/>
            <w:hideMark/>
          </w:tcPr>
          <w:p w14:paraId="451C2205"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1</w:t>
            </w:r>
          </w:p>
        </w:tc>
        <w:tc>
          <w:tcPr>
            <w:tcW w:w="523" w:type="dxa"/>
            <w:tcBorders>
              <w:top w:val="nil"/>
              <w:left w:val="nil"/>
              <w:bottom w:val="nil"/>
              <w:right w:val="nil"/>
            </w:tcBorders>
            <w:shd w:val="clear" w:color="000000" w:fill="FFFFFF"/>
            <w:noWrap/>
            <w:vAlign w:val="center"/>
            <w:hideMark/>
          </w:tcPr>
          <w:p w14:paraId="6351F514"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0</w:t>
            </w:r>
          </w:p>
        </w:tc>
        <w:tc>
          <w:tcPr>
            <w:tcW w:w="523" w:type="dxa"/>
            <w:tcBorders>
              <w:top w:val="nil"/>
              <w:left w:val="nil"/>
              <w:bottom w:val="nil"/>
              <w:right w:val="nil"/>
            </w:tcBorders>
            <w:shd w:val="clear" w:color="000000" w:fill="FFFFFF"/>
            <w:noWrap/>
            <w:vAlign w:val="center"/>
            <w:hideMark/>
          </w:tcPr>
          <w:p w14:paraId="5A33E33F"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0</w:t>
            </w:r>
          </w:p>
        </w:tc>
        <w:tc>
          <w:tcPr>
            <w:tcW w:w="523" w:type="dxa"/>
            <w:tcBorders>
              <w:top w:val="nil"/>
              <w:left w:val="nil"/>
              <w:bottom w:val="nil"/>
              <w:right w:val="nil"/>
            </w:tcBorders>
            <w:shd w:val="clear" w:color="000000" w:fill="FFFFFF"/>
            <w:noWrap/>
            <w:vAlign w:val="center"/>
            <w:hideMark/>
          </w:tcPr>
          <w:p w14:paraId="13A1BFB5"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0</w:t>
            </w:r>
          </w:p>
        </w:tc>
      </w:tr>
      <w:tr w:rsidR="00F6708C" w:rsidRPr="00D30CFE" w14:paraId="3EEA178E" w14:textId="77777777" w:rsidTr="007863E9">
        <w:trPr>
          <w:gridAfter w:val="1"/>
          <w:wAfter w:w="10" w:type="dxa"/>
          <w:trHeight w:val="162"/>
          <w:jc w:val="center"/>
        </w:trPr>
        <w:tc>
          <w:tcPr>
            <w:tcW w:w="470" w:type="dxa"/>
            <w:vMerge/>
            <w:tcBorders>
              <w:top w:val="nil"/>
              <w:left w:val="nil"/>
              <w:bottom w:val="nil"/>
              <w:right w:val="nil"/>
            </w:tcBorders>
            <w:vAlign w:val="center"/>
            <w:hideMark/>
          </w:tcPr>
          <w:p w14:paraId="3634CEDE" w14:textId="77777777" w:rsidR="00F6708C" w:rsidRPr="00D30CFE" w:rsidRDefault="00F6708C" w:rsidP="00F6708C">
            <w:pPr>
              <w:spacing w:after="0" w:line="240" w:lineRule="auto"/>
              <w:rPr>
                <w:rFonts w:ascii="Times New Roman" w:eastAsia="Times New Roman" w:hAnsi="Times New Roman" w:cs="Times New Roman"/>
                <w:color w:val="000000"/>
                <w:sz w:val="20"/>
                <w:szCs w:val="20"/>
                <w:lang w:eastAsia="es-ES"/>
              </w:rPr>
            </w:pPr>
          </w:p>
        </w:tc>
        <w:tc>
          <w:tcPr>
            <w:tcW w:w="1029" w:type="dxa"/>
            <w:tcBorders>
              <w:top w:val="nil"/>
              <w:left w:val="nil"/>
              <w:bottom w:val="nil"/>
              <w:right w:val="single" w:sz="8" w:space="0" w:color="auto"/>
            </w:tcBorders>
            <w:shd w:val="clear" w:color="000000" w:fill="FFFFFF"/>
            <w:noWrap/>
            <w:vAlign w:val="center"/>
            <w:hideMark/>
          </w:tcPr>
          <w:p w14:paraId="22F0DEC3"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2016</w:t>
            </w:r>
          </w:p>
        </w:tc>
        <w:tc>
          <w:tcPr>
            <w:tcW w:w="523" w:type="dxa"/>
            <w:tcBorders>
              <w:top w:val="nil"/>
              <w:left w:val="nil"/>
              <w:bottom w:val="nil"/>
              <w:right w:val="nil"/>
            </w:tcBorders>
            <w:shd w:val="clear" w:color="000000" w:fill="FFFFFF"/>
            <w:noWrap/>
            <w:vAlign w:val="center"/>
            <w:hideMark/>
          </w:tcPr>
          <w:p w14:paraId="0D9E9697"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0</w:t>
            </w:r>
          </w:p>
        </w:tc>
        <w:tc>
          <w:tcPr>
            <w:tcW w:w="523" w:type="dxa"/>
            <w:tcBorders>
              <w:top w:val="nil"/>
              <w:left w:val="nil"/>
              <w:bottom w:val="nil"/>
              <w:right w:val="nil"/>
            </w:tcBorders>
            <w:shd w:val="clear" w:color="000000" w:fill="FFFFFF"/>
            <w:noWrap/>
            <w:vAlign w:val="center"/>
            <w:hideMark/>
          </w:tcPr>
          <w:p w14:paraId="1803D7BB"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11</w:t>
            </w:r>
          </w:p>
        </w:tc>
        <w:tc>
          <w:tcPr>
            <w:tcW w:w="523" w:type="dxa"/>
            <w:tcBorders>
              <w:top w:val="nil"/>
              <w:left w:val="nil"/>
              <w:bottom w:val="nil"/>
              <w:right w:val="nil"/>
            </w:tcBorders>
            <w:shd w:val="clear" w:color="000000" w:fill="FFFFFF"/>
            <w:noWrap/>
            <w:vAlign w:val="center"/>
            <w:hideMark/>
          </w:tcPr>
          <w:p w14:paraId="6677CF3D"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34</w:t>
            </w:r>
          </w:p>
        </w:tc>
        <w:tc>
          <w:tcPr>
            <w:tcW w:w="588" w:type="dxa"/>
            <w:tcBorders>
              <w:top w:val="nil"/>
              <w:left w:val="nil"/>
              <w:bottom w:val="nil"/>
              <w:right w:val="nil"/>
            </w:tcBorders>
            <w:shd w:val="clear" w:color="000000" w:fill="FFFFFF"/>
            <w:noWrap/>
            <w:vAlign w:val="center"/>
            <w:hideMark/>
          </w:tcPr>
          <w:p w14:paraId="1D563ABE"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796</w:t>
            </w:r>
          </w:p>
        </w:tc>
        <w:tc>
          <w:tcPr>
            <w:tcW w:w="768" w:type="dxa"/>
            <w:tcBorders>
              <w:top w:val="nil"/>
              <w:left w:val="nil"/>
              <w:bottom w:val="nil"/>
              <w:right w:val="nil"/>
            </w:tcBorders>
            <w:shd w:val="clear" w:color="000000" w:fill="FFFFFF"/>
            <w:noWrap/>
            <w:vAlign w:val="center"/>
            <w:hideMark/>
          </w:tcPr>
          <w:p w14:paraId="10184DDD"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2722</w:t>
            </w:r>
          </w:p>
        </w:tc>
        <w:tc>
          <w:tcPr>
            <w:tcW w:w="768" w:type="dxa"/>
            <w:tcBorders>
              <w:top w:val="nil"/>
              <w:left w:val="nil"/>
              <w:bottom w:val="nil"/>
              <w:right w:val="nil"/>
            </w:tcBorders>
            <w:shd w:val="clear" w:color="000000" w:fill="FFFFFF"/>
            <w:noWrap/>
            <w:vAlign w:val="center"/>
            <w:hideMark/>
          </w:tcPr>
          <w:p w14:paraId="0F6FCBAA"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1373</w:t>
            </w:r>
          </w:p>
        </w:tc>
        <w:tc>
          <w:tcPr>
            <w:tcW w:w="523" w:type="dxa"/>
            <w:tcBorders>
              <w:top w:val="nil"/>
              <w:left w:val="nil"/>
              <w:bottom w:val="nil"/>
              <w:right w:val="nil"/>
            </w:tcBorders>
            <w:shd w:val="clear" w:color="000000" w:fill="FFFFFF"/>
            <w:noWrap/>
            <w:vAlign w:val="center"/>
            <w:hideMark/>
          </w:tcPr>
          <w:p w14:paraId="4EE4EAF6"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30</w:t>
            </w:r>
          </w:p>
        </w:tc>
        <w:tc>
          <w:tcPr>
            <w:tcW w:w="523" w:type="dxa"/>
            <w:tcBorders>
              <w:top w:val="nil"/>
              <w:left w:val="nil"/>
              <w:bottom w:val="nil"/>
              <w:right w:val="nil"/>
            </w:tcBorders>
            <w:shd w:val="clear" w:color="000000" w:fill="FFFFFF"/>
            <w:noWrap/>
            <w:vAlign w:val="center"/>
            <w:hideMark/>
          </w:tcPr>
          <w:p w14:paraId="3F16ADAB"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5</w:t>
            </w:r>
          </w:p>
        </w:tc>
        <w:tc>
          <w:tcPr>
            <w:tcW w:w="523" w:type="dxa"/>
            <w:tcBorders>
              <w:top w:val="nil"/>
              <w:left w:val="nil"/>
              <w:bottom w:val="nil"/>
              <w:right w:val="nil"/>
            </w:tcBorders>
            <w:shd w:val="clear" w:color="000000" w:fill="FFFFFF"/>
            <w:noWrap/>
            <w:vAlign w:val="center"/>
            <w:hideMark/>
          </w:tcPr>
          <w:p w14:paraId="64114BD7"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2</w:t>
            </w:r>
          </w:p>
        </w:tc>
        <w:tc>
          <w:tcPr>
            <w:tcW w:w="523" w:type="dxa"/>
            <w:tcBorders>
              <w:top w:val="nil"/>
              <w:left w:val="nil"/>
              <w:bottom w:val="nil"/>
              <w:right w:val="nil"/>
            </w:tcBorders>
            <w:shd w:val="clear" w:color="000000" w:fill="FFFFFF"/>
            <w:noWrap/>
            <w:vAlign w:val="center"/>
            <w:hideMark/>
          </w:tcPr>
          <w:p w14:paraId="06976554"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8</w:t>
            </w:r>
          </w:p>
        </w:tc>
        <w:tc>
          <w:tcPr>
            <w:tcW w:w="523" w:type="dxa"/>
            <w:tcBorders>
              <w:top w:val="nil"/>
              <w:left w:val="nil"/>
              <w:bottom w:val="nil"/>
              <w:right w:val="nil"/>
            </w:tcBorders>
            <w:shd w:val="clear" w:color="000000" w:fill="FFFFFF"/>
            <w:noWrap/>
            <w:vAlign w:val="center"/>
            <w:hideMark/>
          </w:tcPr>
          <w:p w14:paraId="79170268"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5</w:t>
            </w:r>
          </w:p>
        </w:tc>
        <w:tc>
          <w:tcPr>
            <w:tcW w:w="523" w:type="dxa"/>
            <w:tcBorders>
              <w:top w:val="nil"/>
              <w:left w:val="nil"/>
              <w:bottom w:val="nil"/>
              <w:right w:val="nil"/>
            </w:tcBorders>
            <w:shd w:val="clear" w:color="000000" w:fill="FFFFFF"/>
            <w:noWrap/>
            <w:vAlign w:val="center"/>
            <w:hideMark/>
          </w:tcPr>
          <w:p w14:paraId="02C44725"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12</w:t>
            </w:r>
          </w:p>
        </w:tc>
      </w:tr>
      <w:tr w:rsidR="00F6708C" w:rsidRPr="00D30CFE" w14:paraId="533B5700" w14:textId="77777777" w:rsidTr="007863E9">
        <w:trPr>
          <w:gridAfter w:val="1"/>
          <w:wAfter w:w="10" w:type="dxa"/>
          <w:trHeight w:val="162"/>
          <w:jc w:val="center"/>
        </w:trPr>
        <w:tc>
          <w:tcPr>
            <w:tcW w:w="470" w:type="dxa"/>
            <w:vMerge/>
            <w:tcBorders>
              <w:top w:val="nil"/>
              <w:left w:val="nil"/>
              <w:bottom w:val="nil"/>
              <w:right w:val="nil"/>
            </w:tcBorders>
            <w:vAlign w:val="center"/>
            <w:hideMark/>
          </w:tcPr>
          <w:p w14:paraId="35967682" w14:textId="77777777" w:rsidR="00F6708C" w:rsidRPr="00D30CFE" w:rsidRDefault="00F6708C" w:rsidP="00F6708C">
            <w:pPr>
              <w:spacing w:after="0" w:line="240" w:lineRule="auto"/>
              <w:rPr>
                <w:rFonts w:ascii="Times New Roman" w:eastAsia="Times New Roman" w:hAnsi="Times New Roman" w:cs="Times New Roman"/>
                <w:color w:val="000000"/>
                <w:sz w:val="20"/>
                <w:szCs w:val="20"/>
                <w:lang w:eastAsia="es-ES"/>
              </w:rPr>
            </w:pPr>
          </w:p>
        </w:tc>
        <w:tc>
          <w:tcPr>
            <w:tcW w:w="1029" w:type="dxa"/>
            <w:tcBorders>
              <w:top w:val="nil"/>
              <w:left w:val="nil"/>
              <w:bottom w:val="nil"/>
              <w:right w:val="single" w:sz="8" w:space="0" w:color="auto"/>
            </w:tcBorders>
            <w:shd w:val="clear" w:color="000000" w:fill="FFFFFF"/>
            <w:noWrap/>
            <w:vAlign w:val="center"/>
            <w:hideMark/>
          </w:tcPr>
          <w:p w14:paraId="684D347D"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2017</w:t>
            </w:r>
          </w:p>
        </w:tc>
        <w:tc>
          <w:tcPr>
            <w:tcW w:w="523" w:type="dxa"/>
            <w:tcBorders>
              <w:top w:val="nil"/>
              <w:left w:val="nil"/>
              <w:bottom w:val="nil"/>
              <w:right w:val="nil"/>
            </w:tcBorders>
            <w:shd w:val="clear" w:color="000000" w:fill="FFFFFF"/>
            <w:noWrap/>
            <w:vAlign w:val="center"/>
            <w:hideMark/>
          </w:tcPr>
          <w:p w14:paraId="74E38263"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17</w:t>
            </w:r>
          </w:p>
        </w:tc>
        <w:tc>
          <w:tcPr>
            <w:tcW w:w="523" w:type="dxa"/>
            <w:tcBorders>
              <w:top w:val="nil"/>
              <w:left w:val="nil"/>
              <w:bottom w:val="nil"/>
              <w:right w:val="nil"/>
            </w:tcBorders>
            <w:shd w:val="clear" w:color="000000" w:fill="FFFFFF"/>
            <w:noWrap/>
            <w:vAlign w:val="center"/>
            <w:hideMark/>
          </w:tcPr>
          <w:p w14:paraId="570E0E25"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65</w:t>
            </w:r>
          </w:p>
        </w:tc>
        <w:tc>
          <w:tcPr>
            <w:tcW w:w="523" w:type="dxa"/>
            <w:tcBorders>
              <w:top w:val="nil"/>
              <w:left w:val="nil"/>
              <w:bottom w:val="nil"/>
              <w:right w:val="nil"/>
            </w:tcBorders>
            <w:shd w:val="clear" w:color="000000" w:fill="FFFFFF"/>
            <w:noWrap/>
            <w:vAlign w:val="center"/>
            <w:hideMark/>
          </w:tcPr>
          <w:p w14:paraId="514176C9"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97</w:t>
            </w:r>
          </w:p>
        </w:tc>
        <w:tc>
          <w:tcPr>
            <w:tcW w:w="588" w:type="dxa"/>
            <w:tcBorders>
              <w:top w:val="nil"/>
              <w:left w:val="nil"/>
              <w:bottom w:val="nil"/>
              <w:right w:val="nil"/>
            </w:tcBorders>
            <w:shd w:val="clear" w:color="000000" w:fill="FFFFFF"/>
            <w:noWrap/>
            <w:vAlign w:val="center"/>
            <w:hideMark/>
          </w:tcPr>
          <w:p w14:paraId="5776D296"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507</w:t>
            </w:r>
          </w:p>
        </w:tc>
        <w:tc>
          <w:tcPr>
            <w:tcW w:w="768" w:type="dxa"/>
            <w:tcBorders>
              <w:top w:val="nil"/>
              <w:left w:val="nil"/>
              <w:bottom w:val="nil"/>
              <w:right w:val="nil"/>
            </w:tcBorders>
            <w:shd w:val="clear" w:color="000000" w:fill="FFFFFF"/>
            <w:noWrap/>
            <w:vAlign w:val="center"/>
            <w:hideMark/>
          </w:tcPr>
          <w:p w14:paraId="0479AEF8"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1755</w:t>
            </w:r>
          </w:p>
        </w:tc>
        <w:tc>
          <w:tcPr>
            <w:tcW w:w="768" w:type="dxa"/>
            <w:tcBorders>
              <w:top w:val="nil"/>
              <w:left w:val="nil"/>
              <w:bottom w:val="nil"/>
              <w:right w:val="nil"/>
            </w:tcBorders>
            <w:shd w:val="clear" w:color="000000" w:fill="FFFFFF"/>
            <w:noWrap/>
            <w:vAlign w:val="center"/>
            <w:hideMark/>
          </w:tcPr>
          <w:p w14:paraId="4B3A17D7"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886</w:t>
            </w:r>
          </w:p>
        </w:tc>
        <w:tc>
          <w:tcPr>
            <w:tcW w:w="523" w:type="dxa"/>
            <w:tcBorders>
              <w:top w:val="nil"/>
              <w:left w:val="nil"/>
              <w:bottom w:val="nil"/>
              <w:right w:val="nil"/>
            </w:tcBorders>
            <w:shd w:val="clear" w:color="000000" w:fill="FFFFFF"/>
            <w:noWrap/>
            <w:vAlign w:val="center"/>
            <w:hideMark/>
          </w:tcPr>
          <w:p w14:paraId="0EB17258"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59</w:t>
            </w:r>
          </w:p>
        </w:tc>
        <w:tc>
          <w:tcPr>
            <w:tcW w:w="523" w:type="dxa"/>
            <w:tcBorders>
              <w:top w:val="nil"/>
              <w:left w:val="nil"/>
              <w:bottom w:val="nil"/>
              <w:right w:val="nil"/>
            </w:tcBorders>
            <w:shd w:val="clear" w:color="000000" w:fill="FFFFFF"/>
            <w:noWrap/>
            <w:vAlign w:val="center"/>
            <w:hideMark/>
          </w:tcPr>
          <w:p w14:paraId="487C4846"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4</w:t>
            </w:r>
          </w:p>
        </w:tc>
        <w:tc>
          <w:tcPr>
            <w:tcW w:w="523" w:type="dxa"/>
            <w:tcBorders>
              <w:top w:val="nil"/>
              <w:left w:val="nil"/>
              <w:bottom w:val="nil"/>
              <w:right w:val="nil"/>
            </w:tcBorders>
            <w:shd w:val="clear" w:color="000000" w:fill="FFFFFF"/>
            <w:noWrap/>
            <w:vAlign w:val="center"/>
            <w:hideMark/>
          </w:tcPr>
          <w:p w14:paraId="62ED8902"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0</w:t>
            </w:r>
          </w:p>
        </w:tc>
        <w:tc>
          <w:tcPr>
            <w:tcW w:w="523" w:type="dxa"/>
            <w:tcBorders>
              <w:top w:val="nil"/>
              <w:left w:val="nil"/>
              <w:bottom w:val="nil"/>
              <w:right w:val="nil"/>
            </w:tcBorders>
            <w:shd w:val="clear" w:color="000000" w:fill="FFFFFF"/>
            <w:noWrap/>
            <w:vAlign w:val="center"/>
            <w:hideMark/>
          </w:tcPr>
          <w:p w14:paraId="4DADFAED"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0</w:t>
            </w:r>
          </w:p>
        </w:tc>
        <w:tc>
          <w:tcPr>
            <w:tcW w:w="523" w:type="dxa"/>
            <w:tcBorders>
              <w:top w:val="nil"/>
              <w:left w:val="nil"/>
              <w:bottom w:val="nil"/>
              <w:right w:val="nil"/>
            </w:tcBorders>
            <w:shd w:val="clear" w:color="000000" w:fill="FFFFFF"/>
            <w:noWrap/>
            <w:vAlign w:val="center"/>
            <w:hideMark/>
          </w:tcPr>
          <w:p w14:paraId="268030D6"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6</w:t>
            </w:r>
          </w:p>
        </w:tc>
        <w:tc>
          <w:tcPr>
            <w:tcW w:w="523" w:type="dxa"/>
            <w:tcBorders>
              <w:top w:val="nil"/>
              <w:left w:val="nil"/>
              <w:bottom w:val="nil"/>
              <w:right w:val="nil"/>
            </w:tcBorders>
            <w:shd w:val="clear" w:color="000000" w:fill="FFFFFF"/>
            <w:noWrap/>
            <w:vAlign w:val="center"/>
            <w:hideMark/>
          </w:tcPr>
          <w:p w14:paraId="1EDE5A4F"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3</w:t>
            </w:r>
          </w:p>
        </w:tc>
      </w:tr>
      <w:tr w:rsidR="00F6708C" w:rsidRPr="00D30CFE" w14:paraId="27B281DE" w14:textId="77777777" w:rsidTr="007863E9">
        <w:trPr>
          <w:gridAfter w:val="1"/>
          <w:wAfter w:w="10" w:type="dxa"/>
          <w:trHeight w:val="170"/>
          <w:jc w:val="center"/>
        </w:trPr>
        <w:tc>
          <w:tcPr>
            <w:tcW w:w="470" w:type="dxa"/>
            <w:vMerge/>
            <w:tcBorders>
              <w:top w:val="nil"/>
              <w:left w:val="nil"/>
              <w:bottom w:val="nil"/>
              <w:right w:val="nil"/>
            </w:tcBorders>
            <w:vAlign w:val="center"/>
            <w:hideMark/>
          </w:tcPr>
          <w:p w14:paraId="26856DB9" w14:textId="77777777" w:rsidR="00F6708C" w:rsidRPr="00D30CFE" w:rsidRDefault="00F6708C" w:rsidP="00F6708C">
            <w:pPr>
              <w:spacing w:after="0" w:line="240" w:lineRule="auto"/>
              <w:rPr>
                <w:rFonts w:ascii="Times New Roman" w:eastAsia="Times New Roman" w:hAnsi="Times New Roman" w:cs="Times New Roman"/>
                <w:color w:val="000000"/>
                <w:sz w:val="20"/>
                <w:szCs w:val="20"/>
                <w:lang w:eastAsia="es-ES"/>
              </w:rPr>
            </w:pPr>
          </w:p>
        </w:tc>
        <w:tc>
          <w:tcPr>
            <w:tcW w:w="1029" w:type="dxa"/>
            <w:tcBorders>
              <w:top w:val="nil"/>
              <w:left w:val="nil"/>
              <w:bottom w:val="nil"/>
              <w:right w:val="single" w:sz="8" w:space="0" w:color="auto"/>
            </w:tcBorders>
            <w:shd w:val="clear" w:color="000000" w:fill="FFFFFF"/>
            <w:noWrap/>
            <w:vAlign w:val="center"/>
            <w:hideMark/>
          </w:tcPr>
          <w:p w14:paraId="67CF1A10"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2018</w:t>
            </w:r>
          </w:p>
        </w:tc>
        <w:tc>
          <w:tcPr>
            <w:tcW w:w="523" w:type="dxa"/>
            <w:tcBorders>
              <w:top w:val="nil"/>
              <w:left w:val="nil"/>
              <w:bottom w:val="nil"/>
              <w:right w:val="nil"/>
            </w:tcBorders>
            <w:shd w:val="clear" w:color="000000" w:fill="FFFFFF"/>
            <w:noWrap/>
            <w:vAlign w:val="center"/>
            <w:hideMark/>
          </w:tcPr>
          <w:p w14:paraId="0F27B913"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0</w:t>
            </w:r>
          </w:p>
        </w:tc>
        <w:tc>
          <w:tcPr>
            <w:tcW w:w="523" w:type="dxa"/>
            <w:tcBorders>
              <w:top w:val="nil"/>
              <w:left w:val="nil"/>
              <w:bottom w:val="nil"/>
              <w:right w:val="nil"/>
            </w:tcBorders>
            <w:shd w:val="clear" w:color="000000" w:fill="FFFFFF"/>
            <w:noWrap/>
            <w:vAlign w:val="center"/>
            <w:hideMark/>
          </w:tcPr>
          <w:p w14:paraId="01F3B88A"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2</w:t>
            </w:r>
          </w:p>
        </w:tc>
        <w:tc>
          <w:tcPr>
            <w:tcW w:w="523" w:type="dxa"/>
            <w:tcBorders>
              <w:top w:val="nil"/>
              <w:left w:val="nil"/>
              <w:bottom w:val="nil"/>
              <w:right w:val="nil"/>
            </w:tcBorders>
            <w:shd w:val="clear" w:color="000000" w:fill="FFFFFF"/>
            <w:noWrap/>
            <w:vAlign w:val="center"/>
            <w:hideMark/>
          </w:tcPr>
          <w:p w14:paraId="7DFB472B"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17</w:t>
            </w:r>
          </w:p>
        </w:tc>
        <w:tc>
          <w:tcPr>
            <w:tcW w:w="588" w:type="dxa"/>
            <w:tcBorders>
              <w:top w:val="nil"/>
              <w:left w:val="nil"/>
              <w:bottom w:val="nil"/>
              <w:right w:val="nil"/>
            </w:tcBorders>
            <w:shd w:val="clear" w:color="000000" w:fill="FFFFFF"/>
            <w:noWrap/>
            <w:vAlign w:val="center"/>
            <w:hideMark/>
          </w:tcPr>
          <w:p w14:paraId="2BE62FF1"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465</w:t>
            </w:r>
          </w:p>
        </w:tc>
        <w:tc>
          <w:tcPr>
            <w:tcW w:w="768" w:type="dxa"/>
            <w:tcBorders>
              <w:top w:val="nil"/>
              <w:left w:val="nil"/>
              <w:bottom w:val="nil"/>
              <w:right w:val="nil"/>
            </w:tcBorders>
            <w:shd w:val="clear" w:color="000000" w:fill="FFFFFF"/>
            <w:noWrap/>
            <w:vAlign w:val="center"/>
            <w:hideMark/>
          </w:tcPr>
          <w:p w14:paraId="38C9E992"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2101</w:t>
            </w:r>
          </w:p>
        </w:tc>
        <w:tc>
          <w:tcPr>
            <w:tcW w:w="768" w:type="dxa"/>
            <w:tcBorders>
              <w:top w:val="nil"/>
              <w:left w:val="nil"/>
              <w:bottom w:val="nil"/>
              <w:right w:val="nil"/>
            </w:tcBorders>
            <w:shd w:val="clear" w:color="000000" w:fill="FFFFFF"/>
            <w:noWrap/>
            <w:vAlign w:val="center"/>
            <w:hideMark/>
          </w:tcPr>
          <w:p w14:paraId="351268A5"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456</w:t>
            </w:r>
          </w:p>
        </w:tc>
        <w:tc>
          <w:tcPr>
            <w:tcW w:w="523" w:type="dxa"/>
            <w:tcBorders>
              <w:top w:val="nil"/>
              <w:left w:val="nil"/>
              <w:bottom w:val="nil"/>
              <w:right w:val="nil"/>
            </w:tcBorders>
            <w:shd w:val="clear" w:color="000000" w:fill="FFFFFF"/>
            <w:noWrap/>
            <w:vAlign w:val="center"/>
            <w:hideMark/>
          </w:tcPr>
          <w:p w14:paraId="1E455D48"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40</w:t>
            </w:r>
          </w:p>
        </w:tc>
        <w:tc>
          <w:tcPr>
            <w:tcW w:w="523" w:type="dxa"/>
            <w:tcBorders>
              <w:top w:val="nil"/>
              <w:left w:val="nil"/>
              <w:bottom w:val="nil"/>
              <w:right w:val="nil"/>
            </w:tcBorders>
            <w:shd w:val="clear" w:color="000000" w:fill="FFFFFF"/>
            <w:noWrap/>
            <w:vAlign w:val="center"/>
            <w:hideMark/>
          </w:tcPr>
          <w:p w14:paraId="661856BD"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3</w:t>
            </w:r>
          </w:p>
        </w:tc>
        <w:tc>
          <w:tcPr>
            <w:tcW w:w="523" w:type="dxa"/>
            <w:tcBorders>
              <w:top w:val="nil"/>
              <w:left w:val="nil"/>
              <w:bottom w:val="nil"/>
              <w:right w:val="nil"/>
            </w:tcBorders>
            <w:shd w:val="clear" w:color="000000" w:fill="FFFFFF"/>
            <w:noWrap/>
            <w:vAlign w:val="center"/>
            <w:hideMark/>
          </w:tcPr>
          <w:p w14:paraId="4EC48AB8"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0</w:t>
            </w:r>
          </w:p>
        </w:tc>
        <w:tc>
          <w:tcPr>
            <w:tcW w:w="523" w:type="dxa"/>
            <w:tcBorders>
              <w:top w:val="nil"/>
              <w:left w:val="nil"/>
              <w:bottom w:val="nil"/>
              <w:right w:val="nil"/>
            </w:tcBorders>
            <w:shd w:val="clear" w:color="000000" w:fill="FFFFFF"/>
            <w:noWrap/>
            <w:vAlign w:val="center"/>
            <w:hideMark/>
          </w:tcPr>
          <w:p w14:paraId="650A8A8F"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4</w:t>
            </w:r>
          </w:p>
        </w:tc>
        <w:tc>
          <w:tcPr>
            <w:tcW w:w="523" w:type="dxa"/>
            <w:tcBorders>
              <w:top w:val="nil"/>
              <w:left w:val="nil"/>
              <w:bottom w:val="nil"/>
              <w:right w:val="nil"/>
            </w:tcBorders>
            <w:shd w:val="clear" w:color="000000" w:fill="FFFFFF"/>
            <w:noWrap/>
            <w:vAlign w:val="center"/>
            <w:hideMark/>
          </w:tcPr>
          <w:p w14:paraId="6072885B"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4</w:t>
            </w:r>
          </w:p>
        </w:tc>
        <w:tc>
          <w:tcPr>
            <w:tcW w:w="523" w:type="dxa"/>
            <w:tcBorders>
              <w:top w:val="nil"/>
              <w:left w:val="nil"/>
              <w:bottom w:val="nil"/>
              <w:right w:val="nil"/>
            </w:tcBorders>
            <w:shd w:val="clear" w:color="000000" w:fill="FFFFFF"/>
            <w:noWrap/>
            <w:vAlign w:val="center"/>
            <w:hideMark/>
          </w:tcPr>
          <w:p w14:paraId="24E6074B" w14:textId="77777777" w:rsidR="00F6708C" w:rsidRPr="00D30CFE" w:rsidRDefault="00F6708C" w:rsidP="00F6708C">
            <w:pPr>
              <w:spacing w:after="0" w:line="240" w:lineRule="auto"/>
              <w:jc w:val="center"/>
              <w:rPr>
                <w:rFonts w:ascii="Times New Roman" w:eastAsia="Times New Roman" w:hAnsi="Times New Roman" w:cs="Times New Roman"/>
                <w:color w:val="000000"/>
                <w:sz w:val="20"/>
                <w:szCs w:val="20"/>
                <w:lang w:eastAsia="es-ES"/>
              </w:rPr>
            </w:pPr>
            <w:r w:rsidRPr="00D30CFE">
              <w:rPr>
                <w:rFonts w:ascii="Times New Roman" w:eastAsia="Times New Roman" w:hAnsi="Times New Roman" w:cs="Times New Roman"/>
                <w:color w:val="000000"/>
                <w:sz w:val="20"/>
                <w:szCs w:val="20"/>
                <w:lang w:eastAsia="es-ES"/>
              </w:rPr>
              <w:t>11</w:t>
            </w:r>
          </w:p>
        </w:tc>
      </w:tr>
    </w:tbl>
    <w:p w14:paraId="7F5896DB" w14:textId="493B928B" w:rsidR="0042665F" w:rsidRPr="0042665F" w:rsidRDefault="0042665F" w:rsidP="0042665F">
      <w:pPr>
        <w:spacing w:line="360" w:lineRule="auto"/>
        <w:jc w:val="both"/>
        <w:rPr>
          <w:rFonts w:ascii="Arial" w:hAnsi="Arial" w:cs="Arial"/>
          <w:sz w:val="24"/>
          <w:szCs w:val="24"/>
          <w:lang w:val="es-MX"/>
        </w:rPr>
      </w:pPr>
    </w:p>
    <w:p w14:paraId="2B453F75" w14:textId="11C8B81B" w:rsidR="00C74D7A" w:rsidRDefault="0042665F" w:rsidP="0042665F">
      <w:pPr>
        <w:spacing w:line="360" w:lineRule="auto"/>
        <w:jc w:val="both"/>
        <w:rPr>
          <w:rFonts w:ascii="Arial" w:hAnsi="Arial" w:cs="Arial"/>
          <w:sz w:val="24"/>
          <w:szCs w:val="24"/>
          <w:lang w:val="es-MX"/>
        </w:rPr>
      </w:pPr>
      <w:r w:rsidRPr="0042665F">
        <w:rPr>
          <w:rFonts w:ascii="Arial" w:hAnsi="Arial" w:cs="Arial"/>
          <w:sz w:val="24"/>
          <w:szCs w:val="24"/>
          <w:lang w:val="es-MX"/>
        </w:rPr>
        <w:t>De ello, se establecieron 2 años de referencia, donde se presentan el menor número de focos activos, donde 2010 (Figura 2) tiene lugar a 339 puntos de calor y 2012 (Figura 3) con 352 puntos. Ambos representan el primer extremo con el menor número de puntos de calor.</w:t>
      </w:r>
    </w:p>
    <w:p w14:paraId="5C4B99D5" w14:textId="653B9645" w:rsidR="0042665F" w:rsidRDefault="0042665F" w:rsidP="0042665F">
      <w:pPr>
        <w:spacing w:line="360" w:lineRule="auto"/>
        <w:jc w:val="center"/>
        <w:rPr>
          <w:rFonts w:ascii="Arial" w:hAnsi="Arial" w:cs="Arial"/>
          <w:sz w:val="24"/>
          <w:szCs w:val="24"/>
          <w:lang w:val="es-MX"/>
        </w:rPr>
      </w:pPr>
      <w:r>
        <w:rPr>
          <w:rFonts w:ascii="Arial" w:hAnsi="Arial" w:cs="Arial"/>
          <w:noProof/>
          <w:sz w:val="24"/>
          <w:szCs w:val="24"/>
          <w:lang w:val="es-MX"/>
        </w:rPr>
        <w:drawing>
          <wp:inline distT="0" distB="0" distL="0" distR="0" wp14:anchorId="3F25DEEC" wp14:editId="48F8341D">
            <wp:extent cx="2418870" cy="2764465"/>
            <wp:effectExtent l="0" t="0" r="635" b="0"/>
            <wp:docPr id="1" name="Imagen 1" descr="Imagen que contiene texto, 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untosCalor_2010.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30185" cy="2777396"/>
                    </a:xfrm>
                    <a:prstGeom prst="rect">
                      <a:avLst/>
                    </a:prstGeom>
                  </pic:spPr>
                </pic:pic>
              </a:graphicData>
            </a:graphic>
          </wp:inline>
        </w:drawing>
      </w:r>
      <w:bookmarkStart w:id="1" w:name="_GoBack"/>
      <w:r>
        <w:rPr>
          <w:rFonts w:ascii="Arial" w:hAnsi="Arial" w:cs="Arial"/>
          <w:noProof/>
          <w:sz w:val="24"/>
          <w:szCs w:val="24"/>
          <w:lang w:val="es-MX"/>
        </w:rPr>
        <w:drawing>
          <wp:inline distT="0" distB="0" distL="0" distR="0" wp14:anchorId="201D60AD" wp14:editId="4BCBEA2F">
            <wp:extent cx="2413590" cy="2758429"/>
            <wp:effectExtent l="0" t="0" r="6350" b="4445"/>
            <wp:docPr id="2" name="Imagen 2" descr="Imagen que contiene texto, 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untosCalor_201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35273" cy="2783210"/>
                    </a:xfrm>
                    <a:prstGeom prst="rect">
                      <a:avLst/>
                    </a:prstGeom>
                  </pic:spPr>
                </pic:pic>
              </a:graphicData>
            </a:graphic>
          </wp:inline>
        </w:drawing>
      </w:r>
      <w:bookmarkEnd w:id="1"/>
    </w:p>
    <w:p w14:paraId="3A00C8E8" w14:textId="6C5E6AF4" w:rsidR="0042665F" w:rsidRPr="0042665F" w:rsidRDefault="0042665F" w:rsidP="0042665F">
      <w:pPr>
        <w:spacing w:line="360" w:lineRule="auto"/>
        <w:rPr>
          <w:rFonts w:ascii="Arial" w:hAnsi="Arial" w:cs="Arial"/>
          <w:sz w:val="20"/>
          <w:szCs w:val="20"/>
          <w:lang w:val="es-MX"/>
        </w:rPr>
      </w:pPr>
      <w:r w:rsidRPr="00FF1FC2">
        <w:rPr>
          <w:rFonts w:ascii="Arial" w:hAnsi="Arial" w:cs="Arial"/>
          <w:i/>
          <w:iCs/>
          <w:sz w:val="20"/>
          <w:szCs w:val="20"/>
          <w:lang w:val="es-MX"/>
        </w:rPr>
        <w:t>Figura 2.</w:t>
      </w:r>
      <w:r w:rsidRPr="0042665F">
        <w:rPr>
          <w:rFonts w:ascii="Arial" w:hAnsi="Arial" w:cs="Arial"/>
          <w:sz w:val="20"/>
          <w:szCs w:val="20"/>
          <w:lang w:val="es-MX"/>
        </w:rPr>
        <w:t xml:space="preserve"> Puntos de calor registrados en 2010.</w:t>
      </w:r>
      <w:r>
        <w:rPr>
          <w:rFonts w:ascii="Arial" w:hAnsi="Arial" w:cs="Arial"/>
          <w:sz w:val="20"/>
          <w:szCs w:val="20"/>
          <w:lang w:val="es-MX"/>
        </w:rPr>
        <w:t xml:space="preserve">    </w:t>
      </w:r>
      <w:r w:rsidRPr="00FF1FC2">
        <w:rPr>
          <w:rFonts w:ascii="Arial" w:hAnsi="Arial" w:cs="Arial"/>
          <w:i/>
          <w:iCs/>
          <w:sz w:val="20"/>
          <w:szCs w:val="20"/>
          <w:lang w:val="es-MX"/>
        </w:rPr>
        <w:t xml:space="preserve">Figura 3. </w:t>
      </w:r>
      <w:r w:rsidRPr="0042665F">
        <w:rPr>
          <w:rFonts w:ascii="Arial" w:hAnsi="Arial" w:cs="Arial"/>
          <w:sz w:val="20"/>
          <w:szCs w:val="20"/>
          <w:lang w:val="es-MX"/>
        </w:rPr>
        <w:t>Puntos de calor registrados en 2012.</w:t>
      </w:r>
    </w:p>
    <w:p w14:paraId="59AF7698" w14:textId="656AC713" w:rsidR="00AA6966" w:rsidRPr="00215089" w:rsidRDefault="00AA6966" w:rsidP="00FF1FC2">
      <w:pPr>
        <w:spacing w:line="360" w:lineRule="auto"/>
        <w:jc w:val="both"/>
        <w:rPr>
          <w:rFonts w:ascii="Arial" w:hAnsi="Arial" w:cs="Arial"/>
          <w:sz w:val="24"/>
          <w:szCs w:val="24"/>
          <w:lang w:val="es-MX"/>
        </w:rPr>
      </w:pPr>
      <w:r>
        <w:rPr>
          <w:rFonts w:ascii="Arial" w:hAnsi="Arial" w:cs="Arial"/>
          <w:sz w:val="24"/>
          <w:szCs w:val="24"/>
          <w:lang w:val="es-MX"/>
        </w:rPr>
        <w:br/>
      </w:r>
      <w:r w:rsidRPr="00AA6966">
        <w:rPr>
          <w:rFonts w:ascii="Arial" w:hAnsi="Arial" w:cs="Arial"/>
          <w:sz w:val="24"/>
          <w:szCs w:val="24"/>
          <w:lang w:val="es-MX"/>
        </w:rPr>
        <w:t>En último extremo se tienen dos años de referencia como los de mayor presencia de puntos de calor, los cuales pertenecen al 2016 y 2017. En 2016 se registraron 4</w:t>
      </w:r>
      <w:r w:rsidRPr="00215089">
        <w:rPr>
          <w:rFonts w:ascii="Arial" w:hAnsi="Arial" w:cs="Arial"/>
          <w:sz w:val="24"/>
          <w:szCs w:val="24"/>
          <w:lang w:val="es-MX"/>
        </w:rPr>
        <w:t xml:space="preserve">,998 puntos de calor, de los cuales el 48% de ellos se ubica en el municipio de La Huerta (Figura 4). </w:t>
      </w:r>
    </w:p>
    <w:p w14:paraId="16C581E9" w14:textId="77777777" w:rsidR="007B7721" w:rsidRPr="00215089" w:rsidRDefault="007B7721" w:rsidP="00FF1FC2">
      <w:pPr>
        <w:spacing w:line="360" w:lineRule="auto"/>
        <w:jc w:val="both"/>
        <w:rPr>
          <w:rFonts w:ascii="Arial" w:hAnsi="Arial" w:cs="Arial"/>
          <w:sz w:val="24"/>
          <w:szCs w:val="24"/>
          <w:lang w:val="es-MX"/>
        </w:rPr>
      </w:pPr>
      <w:r w:rsidRPr="00215089">
        <w:rPr>
          <w:rFonts w:ascii="Arial" w:hAnsi="Arial" w:cs="Arial"/>
          <w:sz w:val="24"/>
          <w:szCs w:val="24"/>
        </w:rPr>
        <w:t>En último extremo se tienen dos años de referencia como los de</w:t>
      </w:r>
      <w:r w:rsidRPr="00215089">
        <w:rPr>
          <w:rFonts w:ascii="Arial" w:hAnsi="Arial" w:cs="Arial"/>
          <w:sz w:val="24"/>
          <w:szCs w:val="24"/>
          <w:lang w:val="es-MX"/>
        </w:rPr>
        <w:t xml:space="preserve"> mayor presencia de puntos de calor, los cuales pertenecen al 2016 y 2017. En 2016 se registraron </w:t>
      </w:r>
      <w:r w:rsidRPr="00215089">
        <w:rPr>
          <w:rFonts w:ascii="Arial" w:hAnsi="Arial" w:cs="Arial"/>
          <w:sz w:val="24"/>
          <w:szCs w:val="24"/>
          <w:lang w:val="es-MX"/>
        </w:rPr>
        <w:lastRenderedPageBreak/>
        <w:t xml:space="preserve">4,998 puntos de calor, de los cuales el 48% de ellos se ubica en el municipio de La Huerta (Figura 4). </w:t>
      </w:r>
    </w:p>
    <w:p w14:paraId="4C63FE0A" w14:textId="0215C4D9" w:rsidR="00AE5DB7" w:rsidRDefault="007B7721" w:rsidP="00FF1FC2">
      <w:pPr>
        <w:spacing w:line="360" w:lineRule="auto"/>
        <w:jc w:val="both"/>
        <w:rPr>
          <w:rFonts w:ascii="Arial" w:hAnsi="Arial" w:cs="Arial"/>
          <w:sz w:val="24"/>
          <w:szCs w:val="24"/>
          <w:lang w:val="es-MX"/>
        </w:rPr>
      </w:pPr>
      <w:r w:rsidRPr="007B7721">
        <w:rPr>
          <w:rFonts w:ascii="Arial" w:hAnsi="Arial" w:cs="Arial"/>
          <w:sz w:val="24"/>
          <w:szCs w:val="24"/>
          <w:lang w:val="es-MX"/>
        </w:rPr>
        <w:t xml:space="preserve">Cabe destacar que en el año 2016 se registró uno de los fenómenos más graves de los últimos 50 años: el fenómeno de El Niño, considerándolo el más fuerte desde El Niño de 1997-98 </w:t>
      </w:r>
      <w:r w:rsidRPr="007B7721">
        <w:rPr>
          <w:rFonts w:ascii="Arial" w:hAnsi="Arial" w:cs="Arial"/>
          <w:sz w:val="24"/>
          <w:szCs w:val="24"/>
          <w:lang w:val="es-MX"/>
        </w:rPr>
        <w:fldChar w:fldCharType="begin"/>
      </w:r>
      <w:r w:rsidRPr="007B7721">
        <w:rPr>
          <w:rFonts w:ascii="Arial" w:hAnsi="Arial" w:cs="Arial"/>
          <w:sz w:val="24"/>
          <w:szCs w:val="24"/>
          <w:lang w:val="es-MX"/>
        </w:rPr>
        <w:instrText xml:space="preserve"> ADDIN ZOTERO_ITEM CSL_CITATION {"citationID":"53cpCSJD","properties":{"formattedCitation":"(Cashin, Mohaddes, &amp; Raissi, 2016)","plainCitation":"(Cashin, Mohaddes, &amp; Raissi, 2016)","noteIndex":0},"citationItems":[{"id":345,"uris":["http://zotero.org/users/local/rDounJIe/items/AR39VXRN"],"uri":["http://zotero.org/users/local/rDounJIe/items/AR39VXRN"],"itemData":{"id":345,"type":"post-weblog","title":"El Niño ¿Es bueno o malo?","container-title":"Finanzas y Desarrollo","genre":"Informativa","abstract":"El Niño tiene efectos importantes en las economías del mundo, no todos malos","URL":"https://www.imf.org/external/pubs/ft/fandd/spa/2016/03/pdf/cashin.pdf","shortTitle":"El Niño","language":"es","author":[{"family":"Cashin","given":"Paul"},{"family":"Mohaddes","given":"Kamiar"},{"family":"Raissi","given":"Mehdi"}],"issued":{"date-parts":[["2016"]]},"accessed":{"date-parts":[["2019",6,30]]}}}],"schema":"https://github.com/citation-style-language/schema/raw/master/csl-citation.json"} </w:instrText>
      </w:r>
      <w:r w:rsidRPr="007B7721">
        <w:rPr>
          <w:rFonts w:ascii="Arial" w:hAnsi="Arial" w:cs="Arial"/>
          <w:sz w:val="24"/>
          <w:szCs w:val="24"/>
          <w:lang w:val="es-MX"/>
        </w:rPr>
        <w:fldChar w:fldCharType="separate"/>
      </w:r>
      <w:r w:rsidRPr="007B7721">
        <w:rPr>
          <w:rFonts w:ascii="Arial" w:hAnsi="Arial" w:cs="Arial"/>
          <w:sz w:val="24"/>
        </w:rPr>
        <w:t>(Cashin, Mohaddes, &amp; Raissi, 2016)</w:t>
      </w:r>
      <w:r w:rsidRPr="007B7721">
        <w:rPr>
          <w:rFonts w:ascii="Arial" w:hAnsi="Arial" w:cs="Arial"/>
          <w:sz w:val="24"/>
          <w:szCs w:val="24"/>
          <w:lang w:val="es-MX"/>
        </w:rPr>
        <w:fldChar w:fldCharType="end"/>
      </w:r>
      <w:r w:rsidRPr="007B7721">
        <w:rPr>
          <w:rFonts w:ascii="Arial" w:hAnsi="Arial" w:cs="Arial"/>
          <w:sz w:val="24"/>
          <w:szCs w:val="24"/>
          <w:lang w:val="es-MX"/>
        </w:rPr>
        <w:t xml:space="preserve">. Este fenómeno afectó en el aumento anormal de la temperatura superficial del mar en el océano pacifico, el cual tiene influencia en el comportamiento del clima en diversos lugares </w:t>
      </w:r>
      <w:r w:rsidRPr="007B7721">
        <w:rPr>
          <w:rFonts w:ascii="Arial" w:hAnsi="Arial" w:cs="Arial"/>
          <w:sz w:val="24"/>
          <w:szCs w:val="24"/>
          <w:lang w:val="es-MX"/>
        </w:rPr>
        <w:fldChar w:fldCharType="begin"/>
      </w:r>
      <w:r w:rsidRPr="007B7721">
        <w:rPr>
          <w:rFonts w:ascii="Arial" w:hAnsi="Arial" w:cs="Arial"/>
          <w:sz w:val="24"/>
          <w:szCs w:val="24"/>
          <w:lang w:val="es-MX"/>
        </w:rPr>
        <w:instrText xml:space="preserve"> ADDIN ZOTERO_ITEM CSL_CITATION {"citationID":"FWxHz0bQ","properties":{"formattedCitation":"(Palacios, 2017)","plainCitation":"(Palacios, 2017)","noteIndex":0},"citationItems":[{"id":351,"uris":["http://zotero.org/users/local/rDounJIe/items/2TVI9Q5J"],"uri":["http://zotero.org/users/local/rDounJIe/items/2TVI9Q5J"],"itemData":{"id":351,"type":"webpage","title":"Afectará El Niño cultivos en Jalisco.","container-title":"Afectará El Niño cultivos de Jalisco","genre":"Informativa","abstract":"Durante el mes de mayo hasta octubre, los modelos de pronóstico indican que habrá un calentamiento de las aguas del Océano Pacífico Ecuatorial, que marcaría el inicio de un nuevo fenómeno de El Niño.","URL":"http://www.udg.mx/es/noticia/afectara-el-nino-cultivos-en-jalisco","shortTitle":"Fenómeno de El Niño","author":[{"family":"Palacios","given":"Dania"}],"issued":{"date-parts":[["2017"]]},"accessed":{"date-parts":[["2019",7,8]]}}}],"schema":"https://github.com/citation-style-language/schema/raw/master/csl-citation.json"} </w:instrText>
      </w:r>
      <w:r w:rsidRPr="007B7721">
        <w:rPr>
          <w:rFonts w:ascii="Arial" w:hAnsi="Arial" w:cs="Arial"/>
          <w:sz w:val="24"/>
          <w:szCs w:val="24"/>
          <w:lang w:val="es-MX"/>
        </w:rPr>
        <w:fldChar w:fldCharType="separate"/>
      </w:r>
      <w:r w:rsidRPr="007B7721">
        <w:rPr>
          <w:rFonts w:ascii="Arial" w:hAnsi="Arial" w:cs="Arial"/>
          <w:sz w:val="24"/>
        </w:rPr>
        <w:t>(Palacios, 2017)</w:t>
      </w:r>
      <w:r w:rsidRPr="007B7721">
        <w:rPr>
          <w:rFonts w:ascii="Arial" w:hAnsi="Arial" w:cs="Arial"/>
          <w:sz w:val="24"/>
          <w:szCs w:val="24"/>
          <w:lang w:val="es-MX"/>
        </w:rPr>
        <w:fldChar w:fldCharType="end"/>
      </w:r>
      <w:r w:rsidRPr="007B7721">
        <w:rPr>
          <w:rFonts w:ascii="Arial" w:hAnsi="Arial" w:cs="Arial"/>
          <w:sz w:val="24"/>
          <w:szCs w:val="24"/>
          <w:lang w:val="es-MX"/>
        </w:rPr>
        <w:t>, por lo que el aumento de temperatura máxima en la región sobrepasó los 34°C,</w:t>
      </w:r>
      <w:r>
        <w:rPr>
          <w:rFonts w:ascii="Times New Roman" w:hAnsi="Times New Roman" w:cs="Times New Roman"/>
          <w:sz w:val="24"/>
          <w:szCs w:val="24"/>
          <w:lang w:val="es-MX"/>
        </w:rPr>
        <w:t xml:space="preserve"> </w:t>
      </w:r>
      <w:r w:rsidR="00AE5DB7" w:rsidRPr="00AA6966">
        <w:rPr>
          <w:rFonts w:ascii="Arial" w:hAnsi="Arial" w:cs="Arial"/>
          <w:sz w:val="24"/>
          <w:szCs w:val="24"/>
          <w:lang w:val="es-MX"/>
        </w:rPr>
        <w:t xml:space="preserve">considerando este temporal como uno de los más secos y con menor precipitación en la zona, por lo que las altas temperaturas, la falta de lluvia y la acumulación de material combustible que propició constantemente la </w:t>
      </w:r>
      <w:r w:rsidRPr="007B7721">
        <w:rPr>
          <w:rFonts w:ascii="Arial" w:hAnsi="Arial" w:cs="Arial"/>
          <w:sz w:val="24"/>
          <w:szCs w:val="24"/>
          <w:lang w:val="es-MX"/>
        </w:rPr>
        <w:t xml:space="preserve">aparición de incendios forestales </w:t>
      </w:r>
      <w:r w:rsidRPr="007B7721">
        <w:rPr>
          <w:rFonts w:ascii="Arial" w:hAnsi="Arial" w:cs="Arial"/>
          <w:sz w:val="24"/>
          <w:szCs w:val="24"/>
          <w:lang w:val="es-MX"/>
        </w:rPr>
        <w:fldChar w:fldCharType="begin"/>
      </w:r>
      <w:r w:rsidRPr="007B7721">
        <w:rPr>
          <w:rFonts w:ascii="Arial" w:hAnsi="Arial" w:cs="Arial"/>
          <w:sz w:val="24"/>
          <w:szCs w:val="24"/>
          <w:lang w:val="es-MX"/>
        </w:rPr>
        <w:instrText xml:space="preserve"> ADDIN ZOTERO_ITEM CSL_CITATION {"citationID":"qQHJgxvy","properties":{"formattedCitation":"(L\\uc0\\u243{}pez, 2017)","plainCitation":"(López, 2017)","noteIndex":0},"citationItems":[{"id":356,"uris":["http://zotero.org/users/local/rDounJIe/items/C9LUQ838"],"uri":["http://zotero.org/users/local/rDounJIe/items/C9LUQ838"],"itemData":{"id":356,"type":"post-weblog","title":"Alertan por el riesgo de incendios forestales.","container-title":"Vallarta opina","genre":"Noticias","abstract":"La falt ade lluvias y la acumulación de material combustible en las selvas de la región impone una alerta para la Comisión Nacional Forestal.","URL":"http://vallartaopina.net/2017/05/17/local/alertan-riesgo-incendios-forestales/","shortTitle":"Alertan por el riesgo de incendios forestales","language":"es","author":[{"family":"López","given":"Rodrigo"}],"issued":{"date-parts":[["2017"]]},"accessed":{"date-parts":[["2019",7,8]]}}}],"schema":"https://github.com/citation-style-language/schema/raw/master/csl-citation.json"} </w:instrText>
      </w:r>
      <w:r w:rsidRPr="007B7721">
        <w:rPr>
          <w:rFonts w:ascii="Arial" w:hAnsi="Arial" w:cs="Arial"/>
          <w:sz w:val="24"/>
          <w:szCs w:val="24"/>
          <w:lang w:val="es-MX"/>
        </w:rPr>
        <w:fldChar w:fldCharType="separate"/>
      </w:r>
      <w:r w:rsidRPr="007B7721">
        <w:rPr>
          <w:rFonts w:ascii="Arial" w:hAnsi="Arial" w:cs="Arial"/>
          <w:sz w:val="24"/>
          <w:szCs w:val="24"/>
        </w:rPr>
        <w:t>(López, 2017)</w:t>
      </w:r>
      <w:r w:rsidRPr="007B7721">
        <w:rPr>
          <w:rFonts w:ascii="Arial" w:hAnsi="Arial" w:cs="Arial"/>
          <w:sz w:val="24"/>
          <w:szCs w:val="24"/>
          <w:lang w:val="es-MX"/>
        </w:rPr>
        <w:fldChar w:fldCharType="end"/>
      </w:r>
      <w:r w:rsidRPr="007B7721">
        <w:rPr>
          <w:rFonts w:ascii="Arial" w:hAnsi="Arial" w:cs="Arial"/>
          <w:sz w:val="24"/>
          <w:szCs w:val="24"/>
          <w:lang w:val="es-MX"/>
        </w:rPr>
        <w:t>.</w:t>
      </w:r>
    </w:p>
    <w:p w14:paraId="23AC1091" w14:textId="304A641F" w:rsidR="00CA72AF" w:rsidRDefault="00CA72AF" w:rsidP="00CA72AF">
      <w:pPr>
        <w:spacing w:line="360" w:lineRule="auto"/>
        <w:jc w:val="both"/>
        <w:rPr>
          <w:rFonts w:ascii="Arial" w:hAnsi="Arial" w:cs="Arial"/>
          <w:sz w:val="24"/>
          <w:szCs w:val="24"/>
        </w:rPr>
      </w:pPr>
      <w:r w:rsidRPr="00AE5DB7">
        <w:rPr>
          <w:rFonts w:ascii="Arial" w:hAnsi="Arial" w:cs="Arial"/>
          <w:sz w:val="24"/>
          <w:szCs w:val="24"/>
        </w:rPr>
        <w:t xml:space="preserve">Por su cuenta, en 2017, se registraron 3,399 puntos de calor (Figura 5). Dichas ocurrencias presentan el 24% del total de incendios en el periodo de análisis, por lo que también constituye una parte fundamental del fenómeno del niño y las condiciones climáticas presentes. </w:t>
      </w:r>
      <w:r w:rsidR="002B4AF8" w:rsidRPr="002B4AF8">
        <w:rPr>
          <w:rFonts w:ascii="Arial" w:hAnsi="Arial" w:cs="Arial"/>
          <w:sz w:val="24"/>
          <w:szCs w:val="24"/>
        </w:rPr>
        <w:t xml:space="preserve">Cabe destacar que en dicho año, los esfuerzos para mitigar los daños causados por incendios forestales dentro de la región fueron notables, cerca de 10,411 días hombre fueron utilizados para reducir los efectos dañinos en cuanto a vegetación, por lo que a medida nacional corresponde a 186,529, por lo que en ocasiones el estado de Jalisco no cuenta con el personal suficiente para cubrir las necesidades de control y manejo de incendios forestales </w:t>
      </w:r>
      <w:r w:rsidR="002B4AF8" w:rsidRPr="002B4AF8">
        <w:rPr>
          <w:rFonts w:ascii="Arial" w:hAnsi="Arial" w:cs="Arial"/>
          <w:sz w:val="24"/>
          <w:szCs w:val="24"/>
        </w:rPr>
        <w:fldChar w:fldCharType="begin"/>
      </w:r>
      <w:r w:rsidR="002B4AF8" w:rsidRPr="002B4AF8">
        <w:rPr>
          <w:rFonts w:ascii="Arial" w:hAnsi="Arial" w:cs="Arial"/>
          <w:sz w:val="24"/>
          <w:szCs w:val="24"/>
        </w:rPr>
        <w:instrText xml:space="preserve"> ADDIN ZOTERO_ITEM CSL_CITATION {"citationID":"stRG8p0R","properties":{"formattedCitation":"(Agust\\uc0\\u237{}n, 2017)","plainCitation":"(Agustín, 2017)","noteIndex":0},"citationItems":[{"id":358,"uris":["http://zotero.org/users/local/rDounJIe/items/UN7ZWZ6U"],"uri":["http://zotero.org/users/local/rDounJIe/items/UN7ZWZ6U"],"itemData":{"id":358,"type":"article-newspaper","title":"Jalisco, en primer lugar en incendios forestales.","container-title":"Milenio","publisher-place":"Guadalajara","page":"1","section":"Estados","event-place":"Guadalajara","abstract":"El promedio de duración de los incendios en Jalisco es de 25 horas con 43 minutos; solamente es superado por Tamaulipas y Campeche.","ISSN":"https://www.milenio.com/estados/jalisco-en-primer-lugar-en-incendios-forestales","shortTitle":"Jalisco, Incendios forestales","language":"es","author":[{"family":"Agustín","given":"Del Castillo"}],"issued":{"date-parts":[["2017"]]}}}],"schema":"https://github.com/citation-style-language/schema/raw/master/csl-citation.json"} </w:instrText>
      </w:r>
      <w:r w:rsidR="002B4AF8" w:rsidRPr="002B4AF8">
        <w:rPr>
          <w:rFonts w:ascii="Arial" w:hAnsi="Arial" w:cs="Arial"/>
          <w:sz w:val="24"/>
          <w:szCs w:val="24"/>
        </w:rPr>
        <w:fldChar w:fldCharType="separate"/>
      </w:r>
      <w:r w:rsidR="002B4AF8" w:rsidRPr="002B4AF8">
        <w:rPr>
          <w:rFonts w:ascii="Arial" w:hAnsi="Arial" w:cs="Arial"/>
          <w:sz w:val="24"/>
          <w:szCs w:val="24"/>
        </w:rPr>
        <w:t>(Agustín, 2017)</w:t>
      </w:r>
      <w:r w:rsidR="002B4AF8" w:rsidRPr="002B4AF8">
        <w:rPr>
          <w:rFonts w:ascii="Arial" w:hAnsi="Arial" w:cs="Arial"/>
          <w:sz w:val="24"/>
          <w:szCs w:val="24"/>
        </w:rPr>
        <w:fldChar w:fldCharType="end"/>
      </w:r>
      <w:r w:rsidR="002B4AF8" w:rsidRPr="002B4AF8">
        <w:rPr>
          <w:rFonts w:ascii="Arial" w:hAnsi="Arial" w:cs="Arial"/>
          <w:sz w:val="24"/>
          <w:szCs w:val="24"/>
        </w:rPr>
        <w:t>.</w:t>
      </w:r>
    </w:p>
    <w:p w14:paraId="26044E49" w14:textId="204303DF" w:rsidR="00AA6966" w:rsidRDefault="00AA6966" w:rsidP="00AA6966">
      <w:pPr>
        <w:spacing w:line="360" w:lineRule="auto"/>
        <w:jc w:val="center"/>
        <w:rPr>
          <w:rFonts w:ascii="Arial" w:hAnsi="Arial" w:cs="Arial"/>
          <w:sz w:val="24"/>
          <w:szCs w:val="24"/>
          <w:lang w:val="es-MX"/>
        </w:rPr>
      </w:pPr>
      <w:r>
        <w:rPr>
          <w:rFonts w:ascii="Arial" w:hAnsi="Arial" w:cs="Arial"/>
          <w:noProof/>
          <w:sz w:val="24"/>
          <w:szCs w:val="24"/>
          <w:lang w:val="es-MX"/>
        </w:rPr>
        <w:drawing>
          <wp:inline distT="0" distB="0" distL="0" distR="0" wp14:anchorId="231FCD6C" wp14:editId="32B6D21A">
            <wp:extent cx="2339162" cy="2673366"/>
            <wp:effectExtent l="0" t="0" r="4445" b="0"/>
            <wp:docPr id="3" name="Imagen 3" descr="Imagen que contiene map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untosCalor_2016.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45192" cy="2680258"/>
                    </a:xfrm>
                    <a:prstGeom prst="rect">
                      <a:avLst/>
                    </a:prstGeom>
                  </pic:spPr>
                </pic:pic>
              </a:graphicData>
            </a:graphic>
          </wp:inline>
        </w:drawing>
      </w:r>
      <w:r w:rsidR="00CA72AF">
        <w:rPr>
          <w:rFonts w:ascii="Arial" w:hAnsi="Arial" w:cs="Arial"/>
          <w:noProof/>
          <w:sz w:val="24"/>
          <w:szCs w:val="24"/>
        </w:rPr>
        <w:drawing>
          <wp:inline distT="0" distB="0" distL="0" distR="0" wp14:anchorId="45F8539C" wp14:editId="265D43C9">
            <wp:extent cx="2328530" cy="2661217"/>
            <wp:effectExtent l="0" t="0" r="0" b="6350"/>
            <wp:docPr id="4" name="Imagen 4" descr="Imagen que contiene texto, 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untosCalor_201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35667" cy="2669374"/>
                    </a:xfrm>
                    <a:prstGeom prst="rect">
                      <a:avLst/>
                    </a:prstGeom>
                  </pic:spPr>
                </pic:pic>
              </a:graphicData>
            </a:graphic>
          </wp:inline>
        </w:drawing>
      </w:r>
    </w:p>
    <w:p w14:paraId="3E9C32C8" w14:textId="753E1035" w:rsidR="00AE5DB7" w:rsidRDefault="00AA6966" w:rsidP="008B5D53">
      <w:pPr>
        <w:spacing w:line="360" w:lineRule="auto"/>
        <w:jc w:val="center"/>
        <w:rPr>
          <w:rFonts w:ascii="Arial" w:hAnsi="Arial" w:cs="Arial"/>
          <w:sz w:val="24"/>
          <w:szCs w:val="24"/>
          <w:lang w:val="es-MX"/>
        </w:rPr>
      </w:pPr>
      <w:r w:rsidRPr="00FF1FC2">
        <w:rPr>
          <w:rFonts w:ascii="Arial" w:hAnsi="Arial" w:cs="Arial"/>
          <w:i/>
          <w:iCs/>
          <w:sz w:val="20"/>
          <w:szCs w:val="20"/>
          <w:lang w:val="es-MX"/>
        </w:rPr>
        <w:lastRenderedPageBreak/>
        <w:t xml:space="preserve">Figura </w:t>
      </w:r>
      <w:r w:rsidR="00AA685C" w:rsidRPr="00FF1FC2">
        <w:rPr>
          <w:rFonts w:ascii="Arial" w:hAnsi="Arial" w:cs="Arial"/>
          <w:i/>
          <w:iCs/>
          <w:sz w:val="20"/>
          <w:szCs w:val="20"/>
          <w:lang w:val="es-MX"/>
        </w:rPr>
        <w:t>4</w:t>
      </w:r>
      <w:r w:rsidRPr="00FF1FC2">
        <w:rPr>
          <w:rFonts w:ascii="Arial" w:hAnsi="Arial" w:cs="Arial"/>
          <w:i/>
          <w:iCs/>
          <w:sz w:val="20"/>
          <w:szCs w:val="20"/>
          <w:lang w:val="es-MX"/>
        </w:rPr>
        <w:t>.</w:t>
      </w:r>
      <w:r w:rsidRPr="0042665F">
        <w:rPr>
          <w:rFonts w:ascii="Arial" w:hAnsi="Arial" w:cs="Arial"/>
          <w:sz w:val="20"/>
          <w:szCs w:val="20"/>
          <w:lang w:val="es-MX"/>
        </w:rPr>
        <w:t xml:space="preserve"> Puntos de calor registrados en 201</w:t>
      </w:r>
      <w:r>
        <w:rPr>
          <w:rFonts w:ascii="Arial" w:hAnsi="Arial" w:cs="Arial"/>
          <w:sz w:val="20"/>
          <w:szCs w:val="20"/>
          <w:lang w:val="es-MX"/>
        </w:rPr>
        <w:t>6</w:t>
      </w:r>
      <w:r w:rsidRPr="0042665F">
        <w:rPr>
          <w:rFonts w:ascii="Arial" w:hAnsi="Arial" w:cs="Arial"/>
          <w:sz w:val="20"/>
          <w:szCs w:val="20"/>
          <w:lang w:val="es-MX"/>
        </w:rPr>
        <w:t>.</w:t>
      </w:r>
      <w:r>
        <w:rPr>
          <w:rFonts w:ascii="Arial" w:hAnsi="Arial" w:cs="Arial"/>
          <w:sz w:val="20"/>
          <w:szCs w:val="20"/>
          <w:lang w:val="es-MX"/>
        </w:rPr>
        <w:t xml:space="preserve">    </w:t>
      </w:r>
      <w:r w:rsidR="00CA72AF" w:rsidRPr="00FF1FC2">
        <w:rPr>
          <w:rFonts w:ascii="Arial" w:hAnsi="Arial" w:cs="Arial"/>
          <w:i/>
          <w:iCs/>
          <w:sz w:val="20"/>
          <w:szCs w:val="20"/>
          <w:lang w:val="es-MX"/>
        </w:rPr>
        <w:t xml:space="preserve">Figura 5. </w:t>
      </w:r>
      <w:r w:rsidR="00CA72AF" w:rsidRPr="0042665F">
        <w:rPr>
          <w:rFonts w:ascii="Arial" w:hAnsi="Arial" w:cs="Arial"/>
          <w:sz w:val="20"/>
          <w:szCs w:val="20"/>
          <w:lang w:val="es-MX"/>
        </w:rPr>
        <w:t>Puntos de calor registrados en 201</w:t>
      </w:r>
      <w:r w:rsidR="00CA72AF">
        <w:rPr>
          <w:rFonts w:ascii="Arial" w:hAnsi="Arial" w:cs="Arial"/>
          <w:sz w:val="20"/>
          <w:szCs w:val="20"/>
          <w:lang w:val="es-MX"/>
        </w:rPr>
        <w:t>8</w:t>
      </w:r>
      <w:r w:rsidR="00CA72AF" w:rsidRPr="0042665F">
        <w:rPr>
          <w:rFonts w:ascii="Arial" w:hAnsi="Arial" w:cs="Arial"/>
          <w:sz w:val="20"/>
          <w:szCs w:val="20"/>
          <w:lang w:val="es-MX"/>
        </w:rPr>
        <w:t>.</w:t>
      </w:r>
      <w:r w:rsidR="00CA72AF">
        <w:rPr>
          <w:rFonts w:ascii="Arial" w:hAnsi="Arial" w:cs="Arial"/>
          <w:sz w:val="20"/>
          <w:szCs w:val="20"/>
          <w:lang w:val="es-MX"/>
        </w:rPr>
        <w:t xml:space="preserve">    </w:t>
      </w:r>
      <w:r w:rsidR="008B5D53">
        <w:rPr>
          <w:rFonts w:ascii="Arial" w:hAnsi="Arial" w:cs="Arial"/>
          <w:sz w:val="24"/>
          <w:szCs w:val="24"/>
          <w:lang w:val="es-MX"/>
        </w:rPr>
        <w:br/>
      </w:r>
    </w:p>
    <w:p w14:paraId="6CB33C6C" w14:textId="51AF1E3A" w:rsidR="00CA72AF" w:rsidRDefault="008B5D53" w:rsidP="00AA6966">
      <w:pPr>
        <w:spacing w:line="360" w:lineRule="auto"/>
        <w:jc w:val="both"/>
        <w:rPr>
          <w:rFonts w:ascii="Arial" w:hAnsi="Arial" w:cs="Arial"/>
          <w:sz w:val="24"/>
          <w:szCs w:val="24"/>
        </w:rPr>
      </w:pPr>
      <w:r w:rsidRPr="008B5D53">
        <w:rPr>
          <w:rFonts w:ascii="Arial" w:hAnsi="Arial" w:cs="Arial"/>
          <w:sz w:val="24"/>
          <w:szCs w:val="24"/>
        </w:rPr>
        <w:t>En cuanto al análisis de vegetación, se puede mencionar que a lo largo del periodo de análisis los dos tipos de vegetación mayormente afectadas se encuentran la selva baja y el bosque (Tabla 2), ambos representan el 31% y 24% de los puntos totales en la región de estudio. Cabe desatacar que el conteo de los puntos de calor representa el número de focos activos distribuidos a lo largo de la zona de estudio, sin embargo, la superficie afectada por tipo de vegetación no fue considerada en</w:t>
      </w:r>
      <w:r>
        <w:rPr>
          <w:rFonts w:ascii="Arial" w:hAnsi="Arial" w:cs="Arial"/>
          <w:sz w:val="24"/>
          <w:szCs w:val="24"/>
        </w:rPr>
        <w:t xml:space="preserve"> la aplicación del conteo.</w:t>
      </w:r>
    </w:p>
    <w:p w14:paraId="110D8E36" w14:textId="2B08229E" w:rsidR="008B5D53" w:rsidRDefault="008B5D53" w:rsidP="004A59D4">
      <w:pPr>
        <w:spacing w:line="360" w:lineRule="auto"/>
        <w:jc w:val="center"/>
        <w:rPr>
          <w:rFonts w:ascii="Arial" w:hAnsi="Arial" w:cs="Arial"/>
          <w:sz w:val="20"/>
          <w:szCs w:val="20"/>
        </w:rPr>
      </w:pPr>
      <w:r w:rsidRPr="00E81F92">
        <w:rPr>
          <w:rFonts w:ascii="Arial" w:hAnsi="Arial" w:cs="Arial"/>
          <w:i/>
          <w:iCs/>
          <w:sz w:val="20"/>
          <w:szCs w:val="20"/>
        </w:rPr>
        <w:t>Tabla 2.</w:t>
      </w:r>
      <w:r w:rsidRPr="008B5D53">
        <w:rPr>
          <w:rFonts w:ascii="Arial" w:hAnsi="Arial" w:cs="Arial"/>
          <w:sz w:val="20"/>
          <w:szCs w:val="20"/>
        </w:rPr>
        <w:t xml:space="preserve"> Puntos de calor detectados por tipo de vegetación 2010 </w:t>
      </w:r>
      <w:r>
        <w:rPr>
          <w:rFonts w:ascii="Arial" w:hAnsi="Arial" w:cs="Arial"/>
          <w:sz w:val="20"/>
          <w:szCs w:val="20"/>
        </w:rPr>
        <w:t>–</w:t>
      </w:r>
      <w:r w:rsidRPr="008B5D53">
        <w:rPr>
          <w:rFonts w:ascii="Arial" w:hAnsi="Arial" w:cs="Arial"/>
          <w:sz w:val="20"/>
          <w:szCs w:val="20"/>
        </w:rPr>
        <w:t xml:space="preserve"> 2018</w:t>
      </w:r>
    </w:p>
    <w:tbl>
      <w:tblPr>
        <w:tblW w:w="4859" w:type="dxa"/>
        <w:jc w:val="center"/>
        <w:tblCellMar>
          <w:left w:w="70" w:type="dxa"/>
          <w:right w:w="70" w:type="dxa"/>
        </w:tblCellMar>
        <w:tblLook w:val="04A0" w:firstRow="1" w:lastRow="0" w:firstColumn="1" w:lastColumn="0" w:noHBand="0" w:noVBand="1"/>
      </w:tblPr>
      <w:tblGrid>
        <w:gridCol w:w="3570"/>
        <w:gridCol w:w="1289"/>
      </w:tblGrid>
      <w:tr w:rsidR="008A5754" w:rsidRPr="008A5754" w14:paraId="202971FC" w14:textId="77777777" w:rsidTr="008A5754">
        <w:trPr>
          <w:trHeight w:val="283"/>
          <w:jc w:val="center"/>
        </w:trPr>
        <w:tc>
          <w:tcPr>
            <w:tcW w:w="3570" w:type="dxa"/>
            <w:tcBorders>
              <w:top w:val="nil"/>
              <w:left w:val="nil"/>
              <w:bottom w:val="single" w:sz="8" w:space="0" w:color="auto"/>
              <w:right w:val="nil"/>
            </w:tcBorders>
            <w:shd w:val="clear" w:color="000000" w:fill="FFFFFF"/>
            <w:noWrap/>
            <w:vAlign w:val="bottom"/>
            <w:hideMark/>
          </w:tcPr>
          <w:p w14:paraId="498378B1" w14:textId="77777777" w:rsidR="008A5754" w:rsidRPr="008A5754" w:rsidRDefault="008A5754" w:rsidP="008A5754">
            <w:pPr>
              <w:spacing w:after="0" w:line="240" w:lineRule="auto"/>
              <w:jc w:val="center"/>
              <w:rPr>
                <w:rFonts w:ascii="Times New Roman" w:eastAsia="Times New Roman" w:hAnsi="Times New Roman" w:cs="Times New Roman"/>
                <w:color w:val="000000"/>
                <w:sz w:val="24"/>
                <w:szCs w:val="24"/>
                <w:lang w:eastAsia="es-ES"/>
              </w:rPr>
            </w:pPr>
            <w:r w:rsidRPr="008A5754">
              <w:rPr>
                <w:rFonts w:ascii="Times New Roman" w:eastAsia="Times New Roman" w:hAnsi="Times New Roman" w:cs="Times New Roman"/>
                <w:color w:val="000000"/>
                <w:sz w:val="24"/>
                <w:szCs w:val="24"/>
                <w:lang w:eastAsia="es-ES"/>
              </w:rPr>
              <w:t>Uso de suelo y vegetación</w:t>
            </w:r>
          </w:p>
        </w:tc>
        <w:tc>
          <w:tcPr>
            <w:tcW w:w="1289" w:type="dxa"/>
            <w:tcBorders>
              <w:top w:val="nil"/>
              <w:left w:val="nil"/>
              <w:bottom w:val="single" w:sz="8" w:space="0" w:color="auto"/>
              <w:right w:val="nil"/>
            </w:tcBorders>
            <w:shd w:val="clear" w:color="000000" w:fill="FFFFFF"/>
            <w:vAlign w:val="bottom"/>
            <w:hideMark/>
          </w:tcPr>
          <w:p w14:paraId="53B9F644" w14:textId="77777777" w:rsidR="008A5754" w:rsidRPr="008A5754" w:rsidRDefault="008A5754" w:rsidP="008A5754">
            <w:pPr>
              <w:spacing w:after="0" w:line="240" w:lineRule="auto"/>
              <w:jc w:val="center"/>
              <w:rPr>
                <w:rFonts w:ascii="Times New Roman" w:eastAsia="Times New Roman" w:hAnsi="Times New Roman" w:cs="Times New Roman"/>
                <w:color w:val="000000"/>
                <w:sz w:val="24"/>
                <w:szCs w:val="24"/>
                <w:lang w:eastAsia="es-ES"/>
              </w:rPr>
            </w:pPr>
            <w:r w:rsidRPr="008A5754">
              <w:rPr>
                <w:rFonts w:ascii="Times New Roman" w:eastAsia="Times New Roman" w:hAnsi="Times New Roman" w:cs="Times New Roman"/>
                <w:color w:val="000000"/>
                <w:sz w:val="24"/>
                <w:szCs w:val="24"/>
                <w:lang w:eastAsia="es-ES"/>
              </w:rPr>
              <w:t>2010 -2018</w:t>
            </w:r>
          </w:p>
        </w:tc>
      </w:tr>
      <w:tr w:rsidR="008A5754" w:rsidRPr="008A5754" w14:paraId="1EC957F1" w14:textId="77777777" w:rsidTr="008A5754">
        <w:trPr>
          <w:trHeight w:val="259"/>
          <w:jc w:val="center"/>
        </w:trPr>
        <w:tc>
          <w:tcPr>
            <w:tcW w:w="3570" w:type="dxa"/>
            <w:tcBorders>
              <w:top w:val="nil"/>
              <w:left w:val="nil"/>
              <w:bottom w:val="nil"/>
              <w:right w:val="nil"/>
            </w:tcBorders>
            <w:shd w:val="clear" w:color="000000" w:fill="FFFFFF"/>
            <w:noWrap/>
            <w:vAlign w:val="center"/>
            <w:hideMark/>
          </w:tcPr>
          <w:p w14:paraId="71069DDF" w14:textId="77777777" w:rsidR="008A5754" w:rsidRPr="008A5754" w:rsidRDefault="008A5754" w:rsidP="008A5754">
            <w:pPr>
              <w:spacing w:after="0" w:line="240" w:lineRule="auto"/>
              <w:jc w:val="center"/>
              <w:rPr>
                <w:rFonts w:ascii="Times New Roman" w:eastAsia="Times New Roman" w:hAnsi="Times New Roman" w:cs="Times New Roman"/>
                <w:color w:val="000000"/>
                <w:sz w:val="24"/>
                <w:szCs w:val="24"/>
                <w:lang w:eastAsia="es-ES"/>
              </w:rPr>
            </w:pPr>
            <w:r w:rsidRPr="008A5754">
              <w:rPr>
                <w:rFonts w:ascii="Times New Roman" w:eastAsia="Times New Roman" w:hAnsi="Times New Roman" w:cs="Times New Roman"/>
                <w:color w:val="000000"/>
                <w:sz w:val="24"/>
                <w:szCs w:val="24"/>
                <w:lang w:eastAsia="es-ES"/>
              </w:rPr>
              <w:t>Agricultura</w:t>
            </w:r>
          </w:p>
        </w:tc>
        <w:tc>
          <w:tcPr>
            <w:tcW w:w="1289" w:type="dxa"/>
            <w:tcBorders>
              <w:top w:val="nil"/>
              <w:left w:val="nil"/>
              <w:bottom w:val="nil"/>
              <w:right w:val="nil"/>
            </w:tcBorders>
            <w:shd w:val="clear" w:color="000000" w:fill="FFFFFF"/>
            <w:noWrap/>
            <w:vAlign w:val="center"/>
            <w:hideMark/>
          </w:tcPr>
          <w:p w14:paraId="25E35F3C" w14:textId="77777777" w:rsidR="008A5754" w:rsidRPr="008A5754" w:rsidRDefault="008A5754" w:rsidP="008A5754">
            <w:pPr>
              <w:spacing w:after="0" w:line="240" w:lineRule="auto"/>
              <w:jc w:val="center"/>
              <w:rPr>
                <w:rFonts w:ascii="Times New Roman" w:eastAsia="Times New Roman" w:hAnsi="Times New Roman" w:cs="Times New Roman"/>
                <w:color w:val="000000"/>
                <w:sz w:val="24"/>
                <w:szCs w:val="24"/>
                <w:lang w:eastAsia="es-ES"/>
              </w:rPr>
            </w:pPr>
            <w:r w:rsidRPr="008A5754">
              <w:rPr>
                <w:rFonts w:ascii="Times New Roman" w:eastAsia="Times New Roman" w:hAnsi="Times New Roman" w:cs="Times New Roman"/>
                <w:color w:val="000000"/>
                <w:sz w:val="24"/>
                <w:szCs w:val="24"/>
                <w:lang w:eastAsia="es-ES"/>
              </w:rPr>
              <w:t>847</w:t>
            </w:r>
          </w:p>
        </w:tc>
      </w:tr>
      <w:tr w:rsidR="008A5754" w:rsidRPr="008A5754" w14:paraId="2089117D" w14:textId="77777777" w:rsidTr="008A5754">
        <w:trPr>
          <w:trHeight w:val="259"/>
          <w:jc w:val="center"/>
        </w:trPr>
        <w:tc>
          <w:tcPr>
            <w:tcW w:w="3570" w:type="dxa"/>
            <w:tcBorders>
              <w:top w:val="nil"/>
              <w:left w:val="nil"/>
              <w:bottom w:val="nil"/>
              <w:right w:val="nil"/>
            </w:tcBorders>
            <w:shd w:val="clear" w:color="000000" w:fill="FFFFFF"/>
            <w:noWrap/>
            <w:vAlign w:val="center"/>
            <w:hideMark/>
          </w:tcPr>
          <w:p w14:paraId="2D3F758B" w14:textId="77777777" w:rsidR="008A5754" w:rsidRPr="008A5754" w:rsidRDefault="008A5754" w:rsidP="008A5754">
            <w:pPr>
              <w:spacing w:after="0" w:line="240" w:lineRule="auto"/>
              <w:jc w:val="center"/>
              <w:rPr>
                <w:rFonts w:ascii="Times New Roman" w:eastAsia="Times New Roman" w:hAnsi="Times New Roman" w:cs="Times New Roman"/>
                <w:color w:val="000000"/>
                <w:sz w:val="24"/>
                <w:szCs w:val="24"/>
                <w:lang w:eastAsia="es-ES"/>
              </w:rPr>
            </w:pPr>
            <w:r w:rsidRPr="008A5754">
              <w:rPr>
                <w:rFonts w:ascii="Times New Roman" w:eastAsia="Times New Roman" w:hAnsi="Times New Roman" w:cs="Times New Roman"/>
                <w:color w:val="000000"/>
                <w:sz w:val="24"/>
                <w:szCs w:val="24"/>
                <w:lang w:eastAsia="es-ES"/>
              </w:rPr>
              <w:t xml:space="preserve">Bosque </w:t>
            </w:r>
          </w:p>
        </w:tc>
        <w:tc>
          <w:tcPr>
            <w:tcW w:w="1289" w:type="dxa"/>
            <w:tcBorders>
              <w:top w:val="nil"/>
              <w:left w:val="nil"/>
              <w:bottom w:val="nil"/>
              <w:right w:val="nil"/>
            </w:tcBorders>
            <w:shd w:val="clear" w:color="000000" w:fill="FFFFFF"/>
            <w:noWrap/>
            <w:vAlign w:val="center"/>
            <w:hideMark/>
          </w:tcPr>
          <w:p w14:paraId="768D29CA" w14:textId="77777777" w:rsidR="008A5754" w:rsidRPr="008A5754" w:rsidRDefault="008A5754" w:rsidP="008A5754">
            <w:pPr>
              <w:spacing w:after="0" w:line="240" w:lineRule="auto"/>
              <w:jc w:val="center"/>
              <w:rPr>
                <w:rFonts w:ascii="Times New Roman" w:eastAsia="Times New Roman" w:hAnsi="Times New Roman" w:cs="Times New Roman"/>
                <w:color w:val="000000"/>
                <w:sz w:val="24"/>
                <w:szCs w:val="24"/>
                <w:lang w:eastAsia="es-ES"/>
              </w:rPr>
            </w:pPr>
            <w:r w:rsidRPr="008A5754">
              <w:rPr>
                <w:rFonts w:ascii="Times New Roman" w:eastAsia="Times New Roman" w:hAnsi="Times New Roman" w:cs="Times New Roman"/>
                <w:color w:val="000000"/>
                <w:sz w:val="24"/>
                <w:szCs w:val="24"/>
                <w:lang w:eastAsia="es-ES"/>
              </w:rPr>
              <w:t>3515</w:t>
            </w:r>
          </w:p>
        </w:tc>
      </w:tr>
      <w:tr w:rsidR="008A5754" w:rsidRPr="008A5754" w14:paraId="72E54C9A" w14:textId="77777777" w:rsidTr="008A5754">
        <w:trPr>
          <w:trHeight w:val="259"/>
          <w:jc w:val="center"/>
        </w:trPr>
        <w:tc>
          <w:tcPr>
            <w:tcW w:w="3570" w:type="dxa"/>
            <w:tcBorders>
              <w:top w:val="nil"/>
              <w:left w:val="nil"/>
              <w:bottom w:val="nil"/>
              <w:right w:val="nil"/>
            </w:tcBorders>
            <w:shd w:val="clear" w:color="000000" w:fill="FFFFFF"/>
            <w:noWrap/>
            <w:vAlign w:val="center"/>
            <w:hideMark/>
          </w:tcPr>
          <w:p w14:paraId="4570997D" w14:textId="77777777" w:rsidR="008A5754" w:rsidRPr="008A5754" w:rsidRDefault="008A5754" w:rsidP="008A5754">
            <w:pPr>
              <w:spacing w:after="0" w:line="240" w:lineRule="auto"/>
              <w:jc w:val="center"/>
              <w:rPr>
                <w:rFonts w:ascii="Times New Roman" w:eastAsia="Times New Roman" w:hAnsi="Times New Roman" w:cs="Times New Roman"/>
                <w:color w:val="000000"/>
                <w:sz w:val="24"/>
                <w:szCs w:val="24"/>
                <w:lang w:eastAsia="es-ES"/>
              </w:rPr>
            </w:pPr>
            <w:r w:rsidRPr="008A5754">
              <w:rPr>
                <w:rFonts w:ascii="Times New Roman" w:eastAsia="Times New Roman" w:hAnsi="Times New Roman" w:cs="Times New Roman"/>
                <w:color w:val="000000"/>
                <w:sz w:val="24"/>
                <w:szCs w:val="24"/>
                <w:lang w:eastAsia="es-ES"/>
              </w:rPr>
              <w:t>Manglar</w:t>
            </w:r>
          </w:p>
        </w:tc>
        <w:tc>
          <w:tcPr>
            <w:tcW w:w="1289" w:type="dxa"/>
            <w:tcBorders>
              <w:top w:val="nil"/>
              <w:left w:val="nil"/>
              <w:bottom w:val="nil"/>
              <w:right w:val="nil"/>
            </w:tcBorders>
            <w:shd w:val="clear" w:color="000000" w:fill="FFFFFF"/>
            <w:noWrap/>
            <w:vAlign w:val="center"/>
            <w:hideMark/>
          </w:tcPr>
          <w:p w14:paraId="0BBD2947" w14:textId="417630E6" w:rsidR="008A5754" w:rsidRPr="008A5754" w:rsidRDefault="008A5754" w:rsidP="008A5754">
            <w:pPr>
              <w:spacing w:after="0" w:line="240" w:lineRule="auto"/>
              <w:jc w:val="center"/>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4</w:t>
            </w:r>
          </w:p>
        </w:tc>
      </w:tr>
      <w:tr w:rsidR="008A5754" w:rsidRPr="008A5754" w14:paraId="63989D26" w14:textId="77777777" w:rsidTr="008A5754">
        <w:trPr>
          <w:trHeight w:val="259"/>
          <w:jc w:val="center"/>
        </w:trPr>
        <w:tc>
          <w:tcPr>
            <w:tcW w:w="3570" w:type="dxa"/>
            <w:tcBorders>
              <w:top w:val="nil"/>
              <w:left w:val="nil"/>
              <w:bottom w:val="nil"/>
              <w:right w:val="nil"/>
            </w:tcBorders>
            <w:shd w:val="clear" w:color="000000" w:fill="FFFFFF"/>
            <w:noWrap/>
            <w:vAlign w:val="center"/>
            <w:hideMark/>
          </w:tcPr>
          <w:p w14:paraId="61B8988B" w14:textId="77777777" w:rsidR="008A5754" w:rsidRPr="008A5754" w:rsidRDefault="008A5754" w:rsidP="008A5754">
            <w:pPr>
              <w:spacing w:after="0" w:line="240" w:lineRule="auto"/>
              <w:jc w:val="center"/>
              <w:rPr>
                <w:rFonts w:ascii="Times New Roman" w:eastAsia="Times New Roman" w:hAnsi="Times New Roman" w:cs="Times New Roman"/>
                <w:color w:val="000000"/>
                <w:sz w:val="24"/>
                <w:szCs w:val="24"/>
                <w:lang w:eastAsia="es-ES"/>
              </w:rPr>
            </w:pPr>
            <w:r w:rsidRPr="008A5754">
              <w:rPr>
                <w:rFonts w:ascii="Times New Roman" w:eastAsia="Times New Roman" w:hAnsi="Times New Roman" w:cs="Times New Roman"/>
                <w:color w:val="000000"/>
                <w:sz w:val="24"/>
                <w:szCs w:val="24"/>
                <w:lang w:eastAsia="es-ES"/>
              </w:rPr>
              <w:t>Palmar</w:t>
            </w:r>
          </w:p>
        </w:tc>
        <w:tc>
          <w:tcPr>
            <w:tcW w:w="1289" w:type="dxa"/>
            <w:tcBorders>
              <w:top w:val="nil"/>
              <w:left w:val="nil"/>
              <w:bottom w:val="nil"/>
              <w:right w:val="nil"/>
            </w:tcBorders>
            <w:shd w:val="clear" w:color="000000" w:fill="FFFFFF"/>
            <w:noWrap/>
            <w:vAlign w:val="center"/>
            <w:hideMark/>
          </w:tcPr>
          <w:p w14:paraId="01C0FC38" w14:textId="77777777" w:rsidR="008A5754" w:rsidRPr="008A5754" w:rsidRDefault="008A5754" w:rsidP="008A5754">
            <w:pPr>
              <w:spacing w:after="0" w:line="240" w:lineRule="auto"/>
              <w:jc w:val="center"/>
              <w:rPr>
                <w:rFonts w:ascii="Times New Roman" w:eastAsia="Times New Roman" w:hAnsi="Times New Roman" w:cs="Times New Roman"/>
                <w:color w:val="000000"/>
                <w:sz w:val="24"/>
                <w:szCs w:val="24"/>
                <w:lang w:eastAsia="es-ES"/>
              </w:rPr>
            </w:pPr>
            <w:r w:rsidRPr="008A5754">
              <w:rPr>
                <w:rFonts w:ascii="Times New Roman" w:eastAsia="Times New Roman" w:hAnsi="Times New Roman" w:cs="Times New Roman"/>
                <w:color w:val="000000"/>
                <w:sz w:val="24"/>
                <w:szCs w:val="24"/>
                <w:lang w:eastAsia="es-ES"/>
              </w:rPr>
              <w:t>7</w:t>
            </w:r>
          </w:p>
        </w:tc>
      </w:tr>
      <w:tr w:rsidR="008A5754" w:rsidRPr="008A5754" w14:paraId="44251507" w14:textId="77777777" w:rsidTr="008A5754">
        <w:trPr>
          <w:trHeight w:val="259"/>
          <w:jc w:val="center"/>
        </w:trPr>
        <w:tc>
          <w:tcPr>
            <w:tcW w:w="3570" w:type="dxa"/>
            <w:tcBorders>
              <w:top w:val="nil"/>
              <w:left w:val="nil"/>
              <w:bottom w:val="nil"/>
              <w:right w:val="nil"/>
            </w:tcBorders>
            <w:shd w:val="clear" w:color="000000" w:fill="FFFFFF"/>
            <w:noWrap/>
            <w:vAlign w:val="center"/>
            <w:hideMark/>
          </w:tcPr>
          <w:p w14:paraId="70D1AC78" w14:textId="77777777" w:rsidR="008A5754" w:rsidRPr="008A5754" w:rsidRDefault="008A5754" w:rsidP="008A5754">
            <w:pPr>
              <w:spacing w:after="0" w:line="240" w:lineRule="auto"/>
              <w:jc w:val="center"/>
              <w:rPr>
                <w:rFonts w:ascii="Times New Roman" w:eastAsia="Times New Roman" w:hAnsi="Times New Roman" w:cs="Times New Roman"/>
                <w:color w:val="000000"/>
                <w:sz w:val="24"/>
                <w:szCs w:val="24"/>
                <w:lang w:eastAsia="es-ES"/>
              </w:rPr>
            </w:pPr>
            <w:r w:rsidRPr="008A5754">
              <w:rPr>
                <w:rFonts w:ascii="Times New Roman" w:eastAsia="Times New Roman" w:hAnsi="Times New Roman" w:cs="Times New Roman"/>
                <w:color w:val="000000"/>
                <w:sz w:val="24"/>
                <w:szCs w:val="24"/>
                <w:lang w:eastAsia="es-ES"/>
              </w:rPr>
              <w:t>Pastizal</w:t>
            </w:r>
          </w:p>
        </w:tc>
        <w:tc>
          <w:tcPr>
            <w:tcW w:w="1289" w:type="dxa"/>
            <w:tcBorders>
              <w:top w:val="nil"/>
              <w:left w:val="nil"/>
              <w:bottom w:val="nil"/>
              <w:right w:val="nil"/>
            </w:tcBorders>
            <w:shd w:val="clear" w:color="000000" w:fill="FFFFFF"/>
            <w:noWrap/>
            <w:vAlign w:val="center"/>
            <w:hideMark/>
          </w:tcPr>
          <w:p w14:paraId="36D27D7E" w14:textId="77777777" w:rsidR="008A5754" w:rsidRPr="008A5754" w:rsidRDefault="008A5754" w:rsidP="008A5754">
            <w:pPr>
              <w:spacing w:after="0" w:line="240" w:lineRule="auto"/>
              <w:jc w:val="center"/>
              <w:rPr>
                <w:rFonts w:ascii="Times New Roman" w:eastAsia="Times New Roman" w:hAnsi="Times New Roman" w:cs="Times New Roman"/>
                <w:color w:val="000000"/>
                <w:sz w:val="24"/>
                <w:szCs w:val="24"/>
                <w:lang w:eastAsia="es-ES"/>
              </w:rPr>
            </w:pPr>
            <w:r w:rsidRPr="008A5754">
              <w:rPr>
                <w:rFonts w:ascii="Times New Roman" w:eastAsia="Times New Roman" w:hAnsi="Times New Roman" w:cs="Times New Roman"/>
                <w:color w:val="000000"/>
                <w:sz w:val="24"/>
                <w:szCs w:val="24"/>
                <w:lang w:eastAsia="es-ES"/>
              </w:rPr>
              <w:t>2870</w:t>
            </w:r>
          </w:p>
        </w:tc>
      </w:tr>
      <w:tr w:rsidR="008A5754" w:rsidRPr="008A5754" w14:paraId="0AE7707F" w14:textId="77777777" w:rsidTr="008A5754">
        <w:trPr>
          <w:trHeight w:val="259"/>
          <w:jc w:val="center"/>
        </w:trPr>
        <w:tc>
          <w:tcPr>
            <w:tcW w:w="3570" w:type="dxa"/>
            <w:tcBorders>
              <w:top w:val="nil"/>
              <w:left w:val="nil"/>
              <w:bottom w:val="nil"/>
              <w:right w:val="nil"/>
            </w:tcBorders>
            <w:shd w:val="clear" w:color="000000" w:fill="FFFFFF"/>
            <w:noWrap/>
            <w:vAlign w:val="center"/>
            <w:hideMark/>
          </w:tcPr>
          <w:p w14:paraId="5DA4879B" w14:textId="77777777" w:rsidR="008A5754" w:rsidRPr="008A5754" w:rsidRDefault="008A5754" w:rsidP="008A5754">
            <w:pPr>
              <w:spacing w:after="0" w:line="240" w:lineRule="auto"/>
              <w:jc w:val="center"/>
              <w:rPr>
                <w:rFonts w:ascii="Times New Roman" w:eastAsia="Times New Roman" w:hAnsi="Times New Roman" w:cs="Times New Roman"/>
                <w:color w:val="000000"/>
                <w:sz w:val="24"/>
                <w:szCs w:val="24"/>
                <w:lang w:eastAsia="es-ES"/>
              </w:rPr>
            </w:pPr>
            <w:proofErr w:type="spellStart"/>
            <w:r w:rsidRPr="008A5754">
              <w:rPr>
                <w:rFonts w:ascii="Times New Roman" w:eastAsia="Times New Roman" w:hAnsi="Times New Roman" w:cs="Times New Roman"/>
                <w:color w:val="000000"/>
                <w:sz w:val="24"/>
                <w:szCs w:val="24"/>
                <w:lang w:eastAsia="es-ES"/>
              </w:rPr>
              <w:t>Sabanoide</w:t>
            </w:r>
            <w:proofErr w:type="spellEnd"/>
          </w:p>
        </w:tc>
        <w:tc>
          <w:tcPr>
            <w:tcW w:w="1289" w:type="dxa"/>
            <w:tcBorders>
              <w:top w:val="nil"/>
              <w:left w:val="nil"/>
              <w:bottom w:val="nil"/>
              <w:right w:val="nil"/>
            </w:tcBorders>
            <w:shd w:val="clear" w:color="000000" w:fill="FFFFFF"/>
            <w:noWrap/>
            <w:vAlign w:val="center"/>
            <w:hideMark/>
          </w:tcPr>
          <w:p w14:paraId="0BF32BE4" w14:textId="0A2F5F31" w:rsidR="008A5754" w:rsidRPr="008A5754" w:rsidRDefault="008A5754" w:rsidP="008A5754">
            <w:pPr>
              <w:spacing w:after="0" w:line="240" w:lineRule="auto"/>
              <w:jc w:val="center"/>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31</w:t>
            </w:r>
          </w:p>
        </w:tc>
      </w:tr>
      <w:tr w:rsidR="008A5754" w:rsidRPr="008A5754" w14:paraId="21E80B9A" w14:textId="77777777" w:rsidTr="008A5754">
        <w:trPr>
          <w:trHeight w:val="259"/>
          <w:jc w:val="center"/>
        </w:trPr>
        <w:tc>
          <w:tcPr>
            <w:tcW w:w="3570" w:type="dxa"/>
            <w:tcBorders>
              <w:top w:val="nil"/>
              <w:left w:val="nil"/>
              <w:bottom w:val="nil"/>
              <w:right w:val="nil"/>
            </w:tcBorders>
            <w:shd w:val="clear" w:color="000000" w:fill="FFFFFF"/>
            <w:noWrap/>
            <w:vAlign w:val="center"/>
            <w:hideMark/>
          </w:tcPr>
          <w:p w14:paraId="6BD3611F" w14:textId="77777777" w:rsidR="008A5754" w:rsidRPr="008A5754" w:rsidRDefault="008A5754" w:rsidP="008A5754">
            <w:pPr>
              <w:spacing w:after="0" w:line="240" w:lineRule="auto"/>
              <w:jc w:val="center"/>
              <w:rPr>
                <w:rFonts w:ascii="Times New Roman" w:eastAsia="Times New Roman" w:hAnsi="Times New Roman" w:cs="Times New Roman"/>
                <w:color w:val="000000"/>
                <w:sz w:val="24"/>
                <w:szCs w:val="24"/>
                <w:lang w:eastAsia="es-ES"/>
              </w:rPr>
            </w:pPr>
            <w:r w:rsidRPr="008A5754">
              <w:rPr>
                <w:rFonts w:ascii="Times New Roman" w:eastAsia="Times New Roman" w:hAnsi="Times New Roman" w:cs="Times New Roman"/>
                <w:color w:val="000000"/>
                <w:sz w:val="24"/>
                <w:szCs w:val="24"/>
                <w:lang w:eastAsia="es-ES"/>
              </w:rPr>
              <w:t>Selva Baja</w:t>
            </w:r>
          </w:p>
        </w:tc>
        <w:tc>
          <w:tcPr>
            <w:tcW w:w="1289" w:type="dxa"/>
            <w:tcBorders>
              <w:top w:val="nil"/>
              <w:left w:val="nil"/>
              <w:bottom w:val="nil"/>
              <w:right w:val="nil"/>
            </w:tcBorders>
            <w:shd w:val="clear" w:color="000000" w:fill="FFFFFF"/>
            <w:noWrap/>
            <w:vAlign w:val="center"/>
            <w:hideMark/>
          </w:tcPr>
          <w:p w14:paraId="2741C9D1" w14:textId="77777777" w:rsidR="008A5754" w:rsidRPr="008A5754" w:rsidRDefault="008A5754" w:rsidP="008A5754">
            <w:pPr>
              <w:spacing w:after="0" w:line="240" w:lineRule="auto"/>
              <w:jc w:val="center"/>
              <w:rPr>
                <w:rFonts w:ascii="Times New Roman" w:eastAsia="Times New Roman" w:hAnsi="Times New Roman" w:cs="Times New Roman"/>
                <w:color w:val="000000"/>
                <w:sz w:val="24"/>
                <w:szCs w:val="24"/>
                <w:lang w:eastAsia="es-ES"/>
              </w:rPr>
            </w:pPr>
            <w:r w:rsidRPr="008A5754">
              <w:rPr>
                <w:rFonts w:ascii="Times New Roman" w:eastAsia="Times New Roman" w:hAnsi="Times New Roman" w:cs="Times New Roman"/>
                <w:color w:val="000000"/>
                <w:sz w:val="24"/>
                <w:szCs w:val="24"/>
                <w:lang w:eastAsia="es-ES"/>
              </w:rPr>
              <w:t>4428</w:t>
            </w:r>
          </w:p>
        </w:tc>
      </w:tr>
      <w:tr w:rsidR="008A5754" w:rsidRPr="008A5754" w14:paraId="637FEADB" w14:textId="77777777" w:rsidTr="008A5754">
        <w:trPr>
          <w:trHeight w:val="259"/>
          <w:jc w:val="center"/>
        </w:trPr>
        <w:tc>
          <w:tcPr>
            <w:tcW w:w="3570" w:type="dxa"/>
            <w:tcBorders>
              <w:top w:val="nil"/>
              <w:left w:val="nil"/>
              <w:bottom w:val="nil"/>
              <w:right w:val="nil"/>
            </w:tcBorders>
            <w:shd w:val="clear" w:color="000000" w:fill="FFFFFF"/>
            <w:noWrap/>
            <w:vAlign w:val="center"/>
            <w:hideMark/>
          </w:tcPr>
          <w:p w14:paraId="5E11E105" w14:textId="77777777" w:rsidR="008A5754" w:rsidRPr="008A5754" w:rsidRDefault="008A5754" w:rsidP="008A5754">
            <w:pPr>
              <w:spacing w:after="0" w:line="240" w:lineRule="auto"/>
              <w:jc w:val="center"/>
              <w:rPr>
                <w:rFonts w:ascii="Times New Roman" w:eastAsia="Times New Roman" w:hAnsi="Times New Roman" w:cs="Times New Roman"/>
                <w:color w:val="000000"/>
                <w:sz w:val="24"/>
                <w:szCs w:val="24"/>
                <w:lang w:eastAsia="es-ES"/>
              </w:rPr>
            </w:pPr>
            <w:r w:rsidRPr="008A5754">
              <w:rPr>
                <w:rFonts w:ascii="Times New Roman" w:eastAsia="Times New Roman" w:hAnsi="Times New Roman" w:cs="Times New Roman"/>
                <w:color w:val="000000"/>
                <w:sz w:val="24"/>
                <w:szCs w:val="24"/>
                <w:lang w:eastAsia="es-ES"/>
              </w:rPr>
              <w:t>Selva Mediana</w:t>
            </w:r>
          </w:p>
        </w:tc>
        <w:tc>
          <w:tcPr>
            <w:tcW w:w="1289" w:type="dxa"/>
            <w:tcBorders>
              <w:top w:val="nil"/>
              <w:left w:val="nil"/>
              <w:bottom w:val="nil"/>
              <w:right w:val="nil"/>
            </w:tcBorders>
            <w:shd w:val="clear" w:color="000000" w:fill="FFFFFF"/>
            <w:noWrap/>
            <w:vAlign w:val="center"/>
            <w:hideMark/>
          </w:tcPr>
          <w:p w14:paraId="6EF260FE" w14:textId="77777777" w:rsidR="008A5754" w:rsidRPr="008A5754" w:rsidRDefault="008A5754" w:rsidP="008A5754">
            <w:pPr>
              <w:spacing w:after="0" w:line="240" w:lineRule="auto"/>
              <w:jc w:val="center"/>
              <w:rPr>
                <w:rFonts w:ascii="Times New Roman" w:eastAsia="Times New Roman" w:hAnsi="Times New Roman" w:cs="Times New Roman"/>
                <w:color w:val="000000"/>
                <w:sz w:val="24"/>
                <w:szCs w:val="24"/>
                <w:lang w:eastAsia="es-ES"/>
              </w:rPr>
            </w:pPr>
            <w:r w:rsidRPr="008A5754">
              <w:rPr>
                <w:rFonts w:ascii="Times New Roman" w:eastAsia="Times New Roman" w:hAnsi="Times New Roman" w:cs="Times New Roman"/>
                <w:color w:val="000000"/>
                <w:sz w:val="24"/>
                <w:szCs w:val="24"/>
                <w:lang w:eastAsia="es-ES"/>
              </w:rPr>
              <w:t>2797</w:t>
            </w:r>
          </w:p>
        </w:tc>
      </w:tr>
      <w:tr w:rsidR="008A5754" w:rsidRPr="008A5754" w14:paraId="30BEBEC7" w14:textId="77777777" w:rsidTr="008A5754">
        <w:trPr>
          <w:trHeight w:val="259"/>
          <w:jc w:val="center"/>
        </w:trPr>
        <w:tc>
          <w:tcPr>
            <w:tcW w:w="3570" w:type="dxa"/>
            <w:tcBorders>
              <w:top w:val="nil"/>
              <w:left w:val="nil"/>
              <w:bottom w:val="nil"/>
              <w:right w:val="nil"/>
            </w:tcBorders>
            <w:shd w:val="clear" w:color="000000" w:fill="FFFFFF"/>
            <w:noWrap/>
            <w:vAlign w:val="center"/>
            <w:hideMark/>
          </w:tcPr>
          <w:p w14:paraId="3D61B3B1" w14:textId="77777777" w:rsidR="008A5754" w:rsidRPr="008A5754" w:rsidRDefault="008A5754" w:rsidP="008A5754">
            <w:pPr>
              <w:spacing w:after="0" w:line="240" w:lineRule="auto"/>
              <w:jc w:val="center"/>
              <w:rPr>
                <w:rFonts w:ascii="Times New Roman" w:eastAsia="Times New Roman" w:hAnsi="Times New Roman" w:cs="Times New Roman"/>
                <w:color w:val="000000"/>
                <w:sz w:val="24"/>
                <w:szCs w:val="24"/>
                <w:lang w:eastAsia="es-ES"/>
              </w:rPr>
            </w:pPr>
            <w:proofErr w:type="spellStart"/>
            <w:r w:rsidRPr="008A5754">
              <w:rPr>
                <w:rFonts w:ascii="Times New Roman" w:eastAsia="Times New Roman" w:hAnsi="Times New Roman" w:cs="Times New Roman"/>
                <w:color w:val="000000"/>
                <w:sz w:val="24"/>
                <w:szCs w:val="24"/>
                <w:lang w:eastAsia="es-ES"/>
              </w:rPr>
              <w:t>Tular</w:t>
            </w:r>
            <w:proofErr w:type="spellEnd"/>
          </w:p>
        </w:tc>
        <w:tc>
          <w:tcPr>
            <w:tcW w:w="1289" w:type="dxa"/>
            <w:tcBorders>
              <w:top w:val="nil"/>
              <w:left w:val="nil"/>
              <w:bottom w:val="nil"/>
              <w:right w:val="nil"/>
            </w:tcBorders>
            <w:shd w:val="clear" w:color="000000" w:fill="FFFFFF"/>
            <w:noWrap/>
            <w:vAlign w:val="center"/>
            <w:hideMark/>
          </w:tcPr>
          <w:p w14:paraId="683768DC" w14:textId="77777777" w:rsidR="008A5754" w:rsidRPr="008A5754" w:rsidRDefault="008A5754" w:rsidP="008A5754">
            <w:pPr>
              <w:spacing w:after="0" w:line="240" w:lineRule="auto"/>
              <w:jc w:val="center"/>
              <w:rPr>
                <w:rFonts w:ascii="Times New Roman" w:eastAsia="Times New Roman" w:hAnsi="Times New Roman" w:cs="Times New Roman"/>
                <w:color w:val="000000"/>
                <w:sz w:val="24"/>
                <w:szCs w:val="24"/>
                <w:lang w:eastAsia="es-ES"/>
              </w:rPr>
            </w:pPr>
            <w:r w:rsidRPr="008A5754">
              <w:rPr>
                <w:rFonts w:ascii="Times New Roman" w:eastAsia="Times New Roman" w:hAnsi="Times New Roman" w:cs="Times New Roman"/>
                <w:color w:val="000000"/>
                <w:sz w:val="24"/>
                <w:szCs w:val="24"/>
                <w:lang w:eastAsia="es-ES"/>
              </w:rPr>
              <w:t>3</w:t>
            </w:r>
          </w:p>
        </w:tc>
      </w:tr>
      <w:tr w:rsidR="008A5754" w:rsidRPr="008A5754" w14:paraId="6F025893" w14:textId="77777777" w:rsidTr="008A5754">
        <w:trPr>
          <w:trHeight w:val="259"/>
          <w:jc w:val="center"/>
        </w:trPr>
        <w:tc>
          <w:tcPr>
            <w:tcW w:w="3570" w:type="dxa"/>
            <w:tcBorders>
              <w:top w:val="nil"/>
              <w:left w:val="nil"/>
              <w:bottom w:val="nil"/>
              <w:right w:val="nil"/>
            </w:tcBorders>
            <w:shd w:val="clear" w:color="000000" w:fill="FFFFFF"/>
            <w:noWrap/>
            <w:vAlign w:val="center"/>
            <w:hideMark/>
          </w:tcPr>
          <w:p w14:paraId="20A99FA0" w14:textId="77777777" w:rsidR="008A5754" w:rsidRPr="008A5754" w:rsidRDefault="008A5754" w:rsidP="008A5754">
            <w:pPr>
              <w:spacing w:after="0" w:line="240" w:lineRule="auto"/>
              <w:jc w:val="center"/>
              <w:rPr>
                <w:rFonts w:ascii="Times New Roman" w:eastAsia="Times New Roman" w:hAnsi="Times New Roman" w:cs="Times New Roman"/>
                <w:color w:val="000000"/>
                <w:sz w:val="24"/>
                <w:szCs w:val="24"/>
                <w:lang w:eastAsia="es-ES"/>
              </w:rPr>
            </w:pPr>
            <w:r w:rsidRPr="008A5754">
              <w:rPr>
                <w:rFonts w:ascii="Times New Roman" w:eastAsia="Times New Roman" w:hAnsi="Times New Roman" w:cs="Times New Roman"/>
                <w:color w:val="000000"/>
                <w:sz w:val="24"/>
                <w:szCs w:val="24"/>
                <w:lang w:eastAsia="es-ES"/>
              </w:rPr>
              <w:t>Vegetación de dunas costeras</w:t>
            </w:r>
          </w:p>
        </w:tc>
        <w:tc>
          <w:tcPr>
            <w:tcW w:w="1289" w:type="dxa"/>
            <w:tcBorders>
              <w:top w:val="nil"/>
              <w:left w:val="nil"/>
              <w:bottom w:val="nil"/>
              <w:right w:val="nil"/>
            </w:tcBorders>
            <w:shd w:val="clear" w:color="000000" w:fill="FFFFFF"/>
            <w:noWrap/>
            <w:vAlign w:val="center"/>
            <w:hideMark/>
          </w:tcPr>
          <w:p w14:paraId="265D93F8" w14:textId="77777777" w:rsidR="008A5754" w:rsidRPr="008A5754" w:rsidRDefault="008A5754" w:rsidP="008A5754">
            <w:pPr>
              <w:spacing w:after="0" w:line="240" w:lineRule="auto"/>
              <w:jc w:val="center"/>
              <w:rPr>
                <w:rFonts w:ascii="Times New Roman" w:eastAsia="Times New Roman" w:hAnsi="Times New Roman" w:cs="Times New Roman"/>
                <w:color w:val="000000"/>
                <w:sz w:val="24"/>
                <w:szCs w:val="24"/>
                <w:lang w:eastAsia="es-ES"/>
              </w:rPr>
            </w:pPr>
            <w:r w:rsidRPr="008A5754">
              <w:rPr>
                <w:rFonts w:ascii="Times New Roman" w:eastAsia="Times New Roman" w:hAnsi="Times New Roman" w:cs="Times New Roman"/>
                <w:color w:val="000000"/>
                <w:sz w:val="24"/>
                <w:szCs w:val="24"/>
                <w:lang w:eastAsia="es-ES"/>
              </w:rPr>
              <w:t>3</w:t>
            </w:r>
          </w:p>
        </w:tc>
      </w:tr>
      <w:tr w:rsidR="008A5754" w:rsidRPr="008A5754" w14:paraId="13BB2877" w14:textId="77777777" w:rsidTr="008A5754">
        <w:trPr>
          <w:trHeight w:val="259"/>
          <w:jc w:val="center"/>
        </w:trPr>
        <w:tc>
          <w:tcPr>
            <w:tcW w:w="3570" w:type="dxa"/>
            <w:tcBorders>
              <w:top w:val="nil"/>
              <w:left w:val="nil"/>
              <w:bottom w:val="nil"/>
              <w:right w:val="nil"/>
            </w:tcBorders>
            <w:shd w:val="clear" w:color="000000" w:fill="FFFFFF"/>
            <w:noWrap/>
            <w:vAlign w:val="center"/>
            <w:hideMark/>
          </w:tcPr>
          <w:p w14:paraId="480CE42E" w14:textId="77777777" w:rsidR="008A5754" w:rsidRPr="008A5754" w:rsidRDefault="008A5754" w:rsidP="008A5754">
            <w:pPr>
              <w:spacing w:after="0" w:line="240" w:lineRule="auto"/>
              <w:jc w:val="center"/>
              <w:rPr>
                <w:rFonts w:ascii="Times New Roman" w:eastAsia="Times New Roman" w:hAnsi="Times New Roman" w:cs="Times New Roman"/>
                <w:color w:val="000000"/>
                <w:sz w:val="24"/>
                <w:szCs w:val="24"/>
                <w:lang w:eastAsia="es-ES"/>
              </w:rPr>
            </w:pPr>
            <w:r w:rsidRPr="008A5754">
              <w:rPr>
                <w:rFonts w:ascii="Times New Roman" w:eastAsia="Times New Roman" w:hAnsi="Times New Roman" w:cs="Times New Roman"/>
                <w:color w:val="000000"/>
                <w:sz w:val="24"/>
                <w:szCs w:val="24"/>
                <w:lang w:eastAsia="es-ES"/>
              </w:rPr>
              <w:t>Vegetación de galería</w:t>
            </w:r>
          </w:p>
        </w:tc>
        <w:tc>
          <w:tcPr>
            <w:tcW w:w="1289" w:type="dxa"/>
            <w:tcBorders>
              <w:top w:val="nil"/>
              <w:left w:val="nil"/>
              <w:bottom w:val="nil"/>
              <w:right w:val="nil"/>
            </w:tcBorders>
            <w:shd w:val="clear" w:color="000000" w:fill="FFFFFF"/>
            <w:noWrap/>
            <w:vAlign w:val="center"/>
            <w:hideMark/>
          </w:tcPr>
          <w:p w14:paraId="319A9E64" w14:textId="6E6ABD96" w:rsidR="008A5754" w:rsidRPr="008A5754" w:rsidRDefault="008A5754" w:rsidP="008A5754">
            <w:pPr>
              <w:spacing w:after="0" w:line="240" w:lineRule="auto"/>
              <w:jc w:val="center"/>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1</w:t>
            </w:r>
          </w:p>
        </w:tc>
      </w:tr>
      <w:tr w:rsidR="008A5754" w:rsidRPr="008A5754" w14:paraId="37E19B1D" w14:textId="77777777" w:rsidTr="008A5754">
        <w:trPr>
          <w:trHeight w:val="271"/>
          <w:jc w:val="center"/>
        </w:trPr>
        <w:tc>
          <w:tcPr>
            <w:tcW w:w="3570" w:type="dxa"/>
            <w:tcBorders>
              <w:top w:val="nil"/>
              <w:left w:val="nil"/>
              <w:bottom w:val="single" w:sz="8" w:space="0" w:color="auto"/>
              <w:right w:val="nil"/>
            </w:tcBorders>
            <w:shd w:val="clear" w:color="000000" w:fill="FFFFFF"/>
            <w:noWrap/>
            <w:vAlign w:val="center"/>
            <w:hideMark/>
          </w:tcPr>
          <w:p w14:paraId="0E0C114F" w14:textId="77777777" w:rsidR="008A5754" w:rsidRPr="008A5754" w:rsidRDefault="008A5754" w:rsidP="008A5754">
            <w:pPr>
              <w:spacing w:after="0" w:line="240" w:lineRule="auto"/>
              <w:jc w:val="center"/>
              <w:rPr>
                <w:rFonts w:ascii="Times New Roman" w:eastAsia="Times New Roman" w:hAnsi="Times New Roman" w:cs="Times New Roman"/>
                <w:color w:val="000000"/>
                <w:sz w:val="24"/>
                <w:szCs w:val="24"/>
                <w:lang w:eastAsia="es-ES"/>
              </w:rPr>
            </w:pPr>
            <w:r w:rsidRPr="008A5754">
              <w:rPr>
                <w:rFonts w:ascii="Times New Roman" w:eastAsia="Times New Roman" w:hAnsi="Times New Roman" w:cs="Times New Roman"/>
                <w:color w:val="000000"/>
                <w:sz w:val="24"/>
                <w:szCs w:val="24"/>
                <w:lang w:eastAsia="es-ES"/>
              </w:rPr>
              <w:t xml:space="preserve">Vegetación </w:t>
            </w:r>
            <w:proofErr w:type="spellStart"/>
            <w:r w:rsidRPr="008A5754">
              <w:rPr>
                <w:rFonts w:ascii="Times New Roman" w:eastAsia="Times New Roman" w:hAnsi="Times New Roman" w:cs="Times New Roman"/>
                <w:color w:val="000000"/>
                <w:sz w:val="24"/>
                <w:szCs w:val="24"/>
                <w:lang w:eastAsia="es-ES"/>
              </w:rPr>
              <w:t>Halofila</w:t>
            </w:r>
            <w:proofErr w:type="spellEnd"/>
          </w:p>
        </w:tc>
        <w:tc>
          <w:tcPr>
            <w:tcW w:w="1289" w:type="dxa"/>
            <w:tcBorders>
              <w:top w:val="nil"/>
              <w:left w:val="nil"/>
              <w:bottom w:val="single" w:sz="8" w:space="0" w:color="auto"/>
              <w:right w:val="nil"/>
            </w:tcBorders>
            <w:shd w:val="clear" w:color="000000" w:fill="FFFFFF"/>
            <w:noWrap/>
            <w:vAlign w:val="center"/>
            <w:hideMark/>
          </w:tcPr>
          <w:p w14:paraId="0000C065" w14:textId="77777777" w:rsidR="008A5754" w:rsidRPr="008A5754" w:rsidRDefault="008A5754" w:rsidP="008A5754">
            <w:pPr>
              <w:spacing w:after="0" w:line="240" w:lineRule="auto"/>
              <w:jc w:val="center"/>
              <w:rPr>
                <w:rFonts w:ascii="Times New Roman" w:eastAsia="Times New Roman" w:hAnsi="Times New Roman" w:cs="Times New Roman"/>
                <w:color w:val="000000"/>
                <w:sz w:val="24"/>
                <w:szCs w:val="24"/>
                <w:lang w:eastAsia="es-ES"/>
              </w:rPr>
            </w:pPr>
            <w:r w:rsidRPr="008A5754">
              <w:rPr>
                <w:rFonts w:ascii="Times New Roman" w:eastAsia="Times New Roman" w:hAnsi="Times New Roman" w:cs="Times New Roman"/>
                <w:color w:val="000000"/>
                <w:sz w:val="24"/>
                <w:szCs w:val="24"/>
                <w:lang w:eastAsia="es-ES"/>
              </w:rPr>
              <w:t>1</w:t>
            </w:r>
          </w:p>
        </w:tc>
      </w:tr>
    </w:tbl>
    <w:p w14:paraId="59FCB605" w14:textId="7224DB9D" w:rsidR="008B5D53" w:rsidRDefault="008B5D53" w:rsidP="008B5D53">
      <w:pPr>
        <w:spacing w:line="360" w:lineRule="auto"/>
        <w:jc w:val="center"/>
        <w:rPr>
          <w:rFonts w:ascii="Arial" w:hAnsi="Arial" w:cs="Arial"/>
          <w:sz w:val="20"/>
          <w:szCs w:val="20"/>
        </w:rPr>
      </w:pPr>
    </w:p>
    <w:p w14:paraId="2A36FE8E" w14:textId="2B78057D" w:rsidR="005600B5" w:rsidRPr="005600B5" w:rsidRDefault="005600B5" w:rsidP="005600B5">
      <w:pPr>
        <w:spacing w:line="360" w:lineRule="auto"/>
        <w:jc w:val="both"/>
        <w:rPr>
          <w:rFonts w:ascii="Arial" w:hAnsi="Arial" w:cs="Arial"/>
          <w:sz w:val="24"/>
          <w:szCs w:val="24"/>
        </w:rPr>
      </w:pPr>
      <w:r w:rsidRPr="005600B5">
        <w:rPr>
          <w:rFonts w:ascii="Arial" w:hAnsi="Arial" w:cs="Arial"/>
          <w:sz w:val="24"/>
          <w:szCs w:val="24"/>
        </w:rPr>
        <w:t xml:space="preserve">Cabe destacar que en la visita a campo en cada uno de los tres municipios del área de estudio se pudo observar que si existe una relación de los puntos de calor con los datos obtenidos por la plataforma del Sistema de Alerta Temprana de Incendios en dichos sitios. Es importante mencionar que no se realizó una visita de campo minuciosa, ya que el área de estudio y la superficie es demasiado amplia, pero se pudo verificar con los puntos cercanos a la red de transporte donde efectivamente hubo quemas activas y rastros de incendios forestales recientes. </w:t>
      </w:r>
    </w:p>
    <w:p w14:paraId="1AD05F2F" w14:textId="77777777" w:rsidR="005600B5" w:rsidRPr="005600B5" w:rsidRDefault="005600B5" w:rsidP="005600B5">
      <w:pPr>
        <w:spacing w:line="360" w:lineRule="auto"/>
        <w:jc w:val="both"/>
        <w:rPr>
          <w:rFonts w:ascii="Arial" w:hAnsi="Arial" w:cs="Arial"/>
          <w:sz w:val="24"/>
          <w:szCs w:val="24"/>
        </w:rPr>
      </w:pPr>
      <w:r w:rsidRPr="005600B5">
        <w:rPr>
          <w:rFonts w:ascii="Arial" w:hAnsi="Arial" w:cs="Arial"/>
          <w:sz w:val="24"/>
          <w:szCs w:val="24"/>
        </w:rPr>
        <w:t xml:space="preserve">La relación con actividades naturales, no se encontró que los efectos naturales influyeran con la aparición de incendios forestales en la zona de estudio. Se evaluaron dos imágenes de condición atmosférica del 15 de junio del 2016 y 15 de junio del 2017, que corresponde a las fechas con mayor registro de puntos de </w:t>
      </w:r>
      <w:r w:rsidRPr="005600B5">
        <w:rPr>
          <w:rFonts w:ascii="Arial" w:hAnsi="Arial" w:cs="Arial"/>
          <w:sz w:val="24"/>
          <w:szCs w:val="24"/>
        </w:rPr>
        <w:lastRenderedPageBreak/>
        <w:t>calor. Cabe desatacar que en ambas imágenes, se observan condiciones de lluvias y eventos de baja posibilidad de sequía, por lo que los componentes no son suficientemente fuertes para causar naturalmente un incendio. Al evaluar y verificar en campo dichas zonas, se pudo observar cómo los campos agrícolas son los principales lugares con aparición de incendios, por lo que los eventos antrópicos se ven presentes notablemente.</w:t>
      </w:r>
    </w:p>
    <w:p w14:paraId="46E0607F" w14:textId="36C2330A" w:rsidR="005600B5" w:rsidRDefault="005600B5" w:rsidP="005600B5">
      <w:pPr>
        <w:spacing w:line="360" w:lineRule="auto"/>
        <w:jc w:val="both"/>
        <w:rPr>
          <w:rFonts w:ascii="Arial" w:hAnsi="Arial" w:cs="Arial"/>
          <w:sz w:val="24"/>
          <w:szCs w:val="24"/>
        </w:rPr>
      </w:pPr>
      <w:r w:rsidRPr="005600B5">
        <w:rPr>
          <w:rFonts w:ascii="Arial" w:hAnsi="Arial" w:cs="Arial"/>
          <w:sz w:val="24"/>
          <w:szCs w:val="24"/>
        </w:rPr>
        <w:t xml:space="preserve">En cuanto a la relación de puntos de calor con las actividades agropecuarias, se ingresaron muestras de los puntos de calor por año, y mediante imágenes de satélite se identificaron las cicatrices en pre incendio y post incendio, mostrando en las muestras, que algunos de los sectores con puntos de calor, efectivamente tuvieron un deterioro vegetal considerable. Dicho proceso, pone en evidencia que el uso de imágenes de satélite en combinación con índices espectrales ayuda a la visualización y toma de decisión en zonas afectadas por el fuego. </w:t>
      </w:r>
    </w:p>
    <w:p w14:paraId="53BF31B1" w14:textId="2E2AC922" w:rsidR="00120D19" w:rsidRPr="009F022C" w:rsidRDefault="00281CF6" w:rsidP="005600B5">
      <w:pPr>
        <w:spacing w:line="360" w:lineRule="auto"/>
        <w:jc w:val="both"/>
        <w:rPr>
          <w:rFonts w:ascii="Arial" w:hAnsi="Arial" w:cs="Arial"/>
          <w:b/>
          <w:bCs/>
          <w:sz w:val="24"/>
          <w:szCs w:val="24"/>
        </w:rPr>
      </w:pPr>
      <w:r>
        <w:rPr>
          <w:rFonts w:ascii="Arial" w:hAnsi="Arial" w:cs="Arial"/>
          <w:b/>
          <w:bCs/>
          <w:sz w:val="24"/>
          <w:szCs w:val="24"/>
        </w:rPr>
        <w:t>Discusión y conclusiones</w:t>
      </w:r>
      <w:r w:rsidR="008C36B7" w:rsidRPr="008C36B7">
        <w:rPr>
          <w:rFonts w:ascii="Arial" w:hAnsi="Arial" w:cs="Arial"/>
          <w:b/>
          <w:bCs/>
          <w:sz w:val="24"/>
          <w:szCs w:val="24"/>
        </w:rPr>
        <w:t>.</w:t>
      </w:r>
      <w:r w:rsidR="009F022C">
        <w:rPr>
          <w:rFonts w:ascii="Arial" w:hAnsi="Arial" w:cs="Arial"/>
          <w:b/>
          <w:bCs/>
          <w:sz w:val="24"/>
          <w:szCs w:val="24"/>
        </w:rPr>
        <w:t xml:space="preserve"> </w:t>
      </w:r>
      <w:r w:rsidR="00120D19" w:rsidRPr="00DD6EE5">
        <w:rPr>
          <w:rFonts w:ascii="Arial" w:hAnsi="Arial" w:cs="Arial"/>
          <w:sz w:val="24"/>
          <w:szCs w:val="24"/>
        </w:rPr>
        <w:t xml:space="preserve">En el caso </w:t>
      </w:r>
      <w:r w:rsidR="00120D19">
        <w:rPr>
          <w:rFonts w:ascii="Arial" w:hAnsi="Arial" w:cs="Arial"/>
          <w:sz w:val="24"/>
          <w:szCs w:val="24"/>
        </w:rPr>
        <w:t>de la evaluación y análisis de los puntos de calor</w:t>
      </w:r>
      <w:r w:rsidR="00120D19" w:rsidRPr="00DD6EE5">
        <w:rPr>
          <w:rFonts w:ascii="Arial" w:hAnsi="Arial" w:cs="Arial"/>
          <w:sz w:val="24"/>
          <w:szCs w:val="24"/>
        </w:rPr>
        <w:t xml:space="preserve">, </w:t>
      </w:r>
      <w:r w:rsidR="00120D19">
        <w:rPr>
          <w:rFonts w:ascii="Arial" w:hAnsi="Arial" w:cs="Arial"/>
          <w:sz w:val="24"/>
          <w:szCs w:val="24"/>
        </w:rPr>
        <w:t>por cada zona detectada</w:t>
      </w:r>
      <w:r w:rsidR="00120D19" w:rsidRPr="00DD6EE5">
        <w:rPr>
          <w:rFonts w:ascii="Arial" w:hAnsi="Arial" w:cs="Arial"/>
          <w:sz w:val="24"/>
          <w:szCs w:val="24"/>
        </w:rPr>
        <w:t xml:space="preserve"> corresponden </w:t>
      </w:r>
      <w:r w:rsidR="00120D19">
        <w:rPr>
          <w:rFonts w:ascii="Arial" w:hAnsi="Arial" w:cs="Arial"/>
          <w:sz w:val="24"/>
          <w:szCs w:val="24"/>
        </w:rPr>
        <w:t>20</w:t>
      </w:r>
      <w:r w:rsidR="00120D19" w:rsidRPr="00DD6EE5">
        <w:rPr>
          <w:rFonts w:ascii="Arial" w:hAnsi="Arial" w:cs="Arial"/>
          <w:sz w:val="24"/>
          <w:szCs w:val="24"/>
        </w:rPr>
        <w:t xml:space="preserve"> a </w:t>
      </w:r>
      <w:r w:rsidR="00120D19">
        <w:rPr>
          <w:rFonts w:ascii="Arial" w:hAnsi="Arial" w:cs="Arial"/>
          <w:sz w:val="24"/>
          <w:szCs w:val="24"/>
        </w:rPr>
        <w:t>30</w:t>
      </w:r>
      <w:r w:rsidR="00120D19" w:rsidRPr="00DD6EE5">
        <w:rPr>
          <w:rFonts w:ascii="Arial" w:hAnsi="Arial" w:cs="Arial"/>
          <w:sz w:val="24"/>
          <w:szCs w:val="24"/>
        </w:rPr>
        <w:t xml:space="preserve"> puntos de calor establecidos por </w:t>
      </w:r>
      <w:r w:rsidR="00120D19">
        <w:rPr>
          <w:rFonts w:ascii="Arial" w:hAnsi="Arial" w:cs="Arial"/>
          <w:sz w:val="24"/>
          <w:szCs w:val="24"/>
        </w:rPr>
        <w:t>el sistema de alerta temprana</w:t>
      </w:r>
      <w:r w:rsidR="00120D19" w:rsidRPr="00DD6EE5">
        <w:rPr>
          <w:rFonts w:ascii="Arial" w:hAnsi="Arial" w:cs="Arial"/>
          <w:sz w:val="24"/>
          <w:szCs w:val="24"/>
        </w:rPr>
        <w:t>, dependiendo directamente de la superficie incendiada</w:t>
      </w:r>
      <w:r w:rsidR="00E63FBB">
        <w:rPr>
          <w:rFonts w:ascii="Arial" w:hAnsi="Arial" w:cs="Arial"/>
          <w:sz w:val="24"/>
          <w:szCs w:val="24"/>
        </w:rPr>
        <w:t xml:space="preserve"> (</w:t>
      </w:r>
      <w:r w:rsidR="009D2C29">
        <w:rPr>
          <w:rFonts w:ascii="Arial" w:hAnsi="Arial" w:cs="Arial"/>
          <w:sz w:val="24"/>
          <w:szCs w:val="24"/>
        </w:rPr>
        <w:t>Dorrego, 2009</w:t>
      </w:r>
      <w:r w:rsidR="00E63FBB">
        <w:rPr>
          <w:rFonts w:ascii="Arial" w:hAnsi="Arial" w:cs="Arial"/>
          <w:sz w:val="24"/>
          <w:szCs w:val="24"/>
        </w:rPr>
        <w:t>), es entonces importante mencionar</w:t>
      </w:r>
      <w:r w:rsidR="00120D19" w:rsidRPr="00DD6EE5">
        <w:rPr>
          <w:rFonts w:ascii="Arial" w:hAnsi="Arial" w:cs="Arial"/>
          <w:sz w:val="24"/>
          <w:szCs w:val="24"/>
        </w:rPr>
        <w:t xml:space="preserve"> que no todos los puntos de calor se asociaron a un incendio, pues se observaron puntos de calor donde no se registra área quemada de acuerdo</w:t>
      </w:r>
      <w:r w:rsidR="00E63FBB">
        <w:rPr>
          <w:rFonts w:ascii="Arial" w:hAnsi="Arial" w:cs="Arial"/>
          <w:sz w:val="24"/>
          <w:szCs w:val="24"/>
        </w:rPr>
        <w:t xml:space="preserve"> con composiciones de bandas por las imágenes de satélite</w:t>
      </w:r>
      <w:r w:rsidR="00120D19" w:rsidRPr="00DD6EE5">
        <w:rPr>
          <w:rFonts w:ascii="Arial" w:hAnsi="Arial" w:cs="Arial"/>
          <w:sz w:val="24"/>
          <w:szCs w:val="24"/>
        </w:rPr>
        <w:t>.</w:t>
      </w:r>
    </w:p>
    <w:p w14:paraId="69896A94" w14:textId="4BFF4337" w:rsidR="0061377A" w:rsidRDefault="005C498D" w:rsidP="005600B5">
      <w:pPr>
        <w:spacing w:line="360" w:lineRule="auto"/>
        <w:jc w:val="both"/>
        <w:rPr>
          <w:rFonts w:ascii="Arial" w:hAnsi="Arial" w:cs="Arial"/>
          <w:sz w:val="24"/>
          <w:szCs w:val="24"/>
        </w:rPr>
      </w:pPr>
      <w:r>
        <w:rPr>
          <w:rFonts w:ascii="Arial" w:hAnsi="Arial" w:cs="Arial"/>
          <w:sz w:val="24"/>
          <w:szCs w:val="24"/>
        </w:rPr>
        <w:t>En cuanto a la relación entre las actividades antrópicas y naturales para la aparición de puntos de calor, s</w:t>
      </w:r>
      <w:r w:rsidR="005A14B7" w:rsidRPr="005600B5">
        <w:rPr>
          <w:rFonts w:ascii="Arial" w:hAnsi="Arial" w:cs="Arial"/>
          <w:sz w:val="24"/>
          <w:szCs w:val="24"/>
        </w:rPr>
        <w:t xml:space="preserve">e menciona que, aunque los incendios forestales pueden deberse a condiciones climáticas naturales que ayudan a la aparición, esta no es la causa principal </w:t>
      </w:r>
      <w:r w:rsidR="005A14B7" w:rsidRPr="005600B5">
        <w:rPr>
          <w:rFonts w:ascii="Arial" w:hAnsi="Arial" w:cs="Arial"/>
          <w:sz w:val="24"/>
          <w:szCs w:val="24"/>
        </w:rPr>
        <w:fldChar w:fldCharType="begin"/>
      </w:r>
      <w:r w:rsidR="005A14B7" w:rsidRPr="005600B5">
        <w:rPr>
          <w:rFonts w:ascii="Arial" w:hAnsi="Arial" w:cs="Arial"/>
          <w:sz w:val="24"/>
          <w:szCs w:val="24"/>
        </w:rPr>
        <w:instrText xml:space="preserve"> ADDIN ZOTERO_ITEM CSL_CITATION {"citationID":"A4Wd0eKr","properties":{"formattedCitation":"(P\\uc0\\u233{}rez, M\\uc0\\u225{}rquez, Cort\\uc0\\u233{}s, &amp; Salmer\\uc0\\u243{}n, 2013)","plainCitation":"(Pérez, Márquez, Cortés, &amp; Salmerón, 2013)","noteIndex":0},"citationItems":[{"id":365,"uris":["http://zotero.org/users/local/rDounJIe/items/DIEVMADY"],"uri":["http://zotero.org/users/local/rDounJIe/items/DIEVMADY"],"itemData":{"id":365,"type":"article-magazine","title":"Análisis espacio-temporal de la ocurrencia de incendios forestales en Durango, México.","container-title":"Madera y bosques","page":"37-58","volume":"19","issue":"2","abstract":"Los incendios forestales representan un gran problema en la pérdida de biodiversidad, en la emisión de gases efecto invernadero y en la modificación de los flujos hídricos. En México, los incendios son causados en su mayoría por la acción del hombre, por lo que factores como la accesibilidad, distancia a caminos y poblados, entre otros, influyen en su frecuencia y distribución. Utilizando una base de datos de la Conafor, periodo 2000-2011, se realizó un análisis espacio-temporal de la ocurrencia de los incendios forestales en Durango, uno de los estados con mayor afectación en el país. Se utilizó el índice de Moran para determinar un patrón de distribución espacial y se hizo un análisis de estacionalidad y autocorrelación temporal utilizando los datos colectados. Para determinar los factores más importantes que inciden en el tamaño de los incendios, se aplicó la regresión geográficamente ponderada cuya característica principal es la asignación de niveles de importancia (peso geográfico) en función de la distancia. Los resultados indican que los incendios forestales se distribuyen de manera agregada, son no-estacionarios y no están correlacionados temporalmente. El tamaño de los incendios se manifiesta de acuerdo con la densidad de población y vías de acceso, lo que confirma la importancia del factor antropogénico en la magnitud de estos eventos. Bajas precipitaciones y altas temperaturas son factores climáticos que también afectan en gran medida la ocurrencia de los incendios. De manera general y considerando el factor antropogénico, se requieren más apoyos en educación y capacitación para reducir los efectos del fuego.","ISSN":"2448-7597","language":"es","author":[{"family":"Pérez","given":"Gustavo"},{"family":"Márquez","given":"Antonio"},{"family":"Cortés","given":"Armando"},{"family":"Salmerón","given":"Maricela"}],"issued":{"date-parts":[["2013"]]}}}],"schema":"https://github.com/citation-style-language/schema/raw/master/csl-citation.json"} </w:instrText>
      </w:r>
      <w:r w:rsidR="005A14B7" w:rsidRPr="005600B5">
        <w:rPr>
          <w:rFonts w:ascii="Arial" w:hAnsi="Arial" w:cs="Arial"/>
          <w:sz w:val="24"/>
          <w:szCs w:val="24"/>
        </w:rPr>
        <w:fldChar w:fldCharType="separate"/>
      </w:r>
      <w:r w:rsidR="005A14B7" w:rsidRPr="005600B5">
        <w:rPr>
          <w:rFonts w:ascii="Arial" w:hAnsi="Arial" w:cs="Arial"/>
          <w:sz w:val="24"/>
          <w:szCs w:val="24"/>
        </w:rPr>
        <w:t>(Pérez, Márquez, Cortés, &amp; Salmerón, 2013)</w:t>
      </w:r>
      <w:r w:rsidR="005A14B7" w:rsidRPr="005600B5">
        <w:rPr>
          <w:rFonts w:ascii="Arial" w:hAnsi="Arial" w:cs="Arial"/>
          <w:sz w:val="24"/>
          <w:szCs w:val="24"/>
        </w:rPr>
        <w:fldChar w:fldCharType="end"/>
      </w:r>
      <w:r w:rsidR="005A14B7" w:rsidRPr="005600B5">
        <w:rPr>
          <w:rFonts w:ascii="Arial" w:hAnsi="Arial" w:cs="Arial"/>
          <w:sz w:val="24"/>
          <w:szCs w:val="24"/>
        </w:rPr>
        <w:t>. La quema agrícola por parte de ejidatarios forma parte importante en la aparición de los incendios forestales, esto para favorecer la producción y fomentar la capacidad agrícola de las parcelas. Además el cambio de cobertura y uso de suelo en la zona de estudio, también se considera como una práctica habitual para realizar un desmonte efectivo y rápido para poder localizar nuevos asentamientos o para fines diversos que constituyen la expansión humana y económica de la región.</w:t>
      </w:r>
    </w:p>
    <w:p w14:paraId="1AC271BF" w14:textId="52EB8564" w:rsidR="005C498D" w:rsidRDefault="00422967" w:rsidP="00422967">
      <w:pPr>
        <w:spacing w:line="360" w:lineRule="auto"/>
        <w:jc w:val="both"/>
        <w:rPr>
          <w:rFonts w:ascii="Arial" w:hAnsi="Arial" w:cs="Arial"/>
          <w:sz w:val="24"/>
          <w:szCs w:val="24"/>
        </w:rPr>
      </w:pPr>
      <w:r>
        <w:rPr>
          <w:rFonts w:ascii="Arial" w:hAnsi="Arial" w:cs="Arial"/>
          <w:sz w:val="24"/>
          <w:szCs w:val="24"/>
        </w:rPr>
        <w:lastRenderedPageBreak/>
        <w:t xml:space="preserve">Es importante decir, </w:t>
      </w:r>
      <w:r w:rsidR="00B50221">
        <w:rPr>
          <w:rFonts w:ascii="Arial" w:hAnsi="Arial" w:cs="Arial"/>
          <w:sz w:val="24"/>
          <w:szCs w:val="24"/>
        </w:rPr>
        <w:t xml:space="preserve">que la utilización de plataformas para el análisis geoespacial y la implementación de recursos aplicada a incendios forestales, aporta </w:t>
      </w:r>
      <w:r w:rsidRPr="00422967">
        <w:rPr>
          <w:rFonts w:ascii="Arial" w:hAnsi="Arial" w:cs="Arial"/>
          <w:sz w:val="24"/>
          <w:szCs w:val="24"/>
        </w:rPr>
        <w:t>información muy</w:t>
      </w:r>
      <w:r>
        <w:rPr>
          <w:rFonts w:ascii="Arial" w:hAnsi="Arial" w:cs="Arial"/>
          <w:sz w:val="24"/>
          <w:szCs w:val="24"/>
        </w:rPr>
        <w:t xml:space="preserve"> </w:t>
      </w:r>
      <w:r w:rsidRPr="00422967">
        <w:rPr>
          <w:rFonts w:ascii="Arial" w:hAnsi="Arial" w:cs="Arial"/>
          <w:sz w:val="24"/>
          <w:szCs w:val="24"/>
        </w:rPr>
        <w:t>valiosa tanto para la prevención como para la</w:t>
      </w:r>
      <w:r>
        <w:rPr>
          <w:rFonts w:ascii="Arial" w:hAnsi="Arial" w:cs="Arial"/>
          <w:sz w:val="24"/>
          <w:szCs w:val="24"/>
        </w:rPr>
        <w:t xml:space="preserve"> </w:t>
      </w:r>
      <w:r w:rsidRPr="00422967">
        <w:rPr>
          <w:rFonts w:ascii="Arial" w:hAnsi="Arial" w:cs="Arial"/>
          <w:sz w:val="24"/>
          <w:szCs w:val="24"/>
        </w:rPr>
        <w:t>planificación y protección del territorio</w:t>
      </w:r>
      <w:r w:rsidR="003821B1">
        <w:rPr>
          <w:rFonts w:ascii="Arial" w:hAnsi="Arial" w:cs="Arial"/>
          <w:sz w:val="24"/>
          <w:szCs w:val="24"/>
        </w:rPr>
        <w:t>, además, la</w:t>
      </w:r>
      <w:r w:rsidR="003821B1" w:rsidRPr="003821B1">
        <w:rPr>
          <w:rFonts w:ascii="Arial" w:hAnsi="Arial" w:cs="Arial"/>
          <w:sz w:val="24"/>
          <w:szCs w:val="24"/>
        </w:rPr>
        <w:t xml:space="preserve"> identificación de </w:t>
      </w:r>
      <w:r w:rsidR="003821B1">
        <w:rPr>
          <w:rFonts w:ascii="Arial" w:hAnsi="Arial" w:cs="Arial"/>
          <w:sz w:val="24"/>
          <w:szCs w:val="24"/>
        </w:rPr>
        <w:t xml:space="preserve">zonas y puntos con registro de incendios </w:t>
      </w:r>
      <w:r w:rsidR="003821B1" w:rsidRPr="003821B1">
        <w:rPr>
          <w:rFonts w:ascii="Arial" w:hAnsi="Arial" w:cs="Arial"/>
          <w:sz w:val="24"/>
          <w:szCs w:val="24"/>
        </w:rPr>
        <w:t xml:space="preserve">permite que las dependencias encargadas del manejo y protección de forestal apliquen programas de </w:t>
      </w:r>
      <w:r w:rsidR="003821B1">
        <w:rPr>
          <w:rFonts w:ascii="Arial" w:hAnsi="Arial" w:cs="Arial"/>
          <w:sz w:val="24"/>
          <w:szCs w:val="24"/>
        </w:rPr>
        <w:t xml:space="preserve">cuidado y </w:t>
      </w:r>
      <w:r w:rsidR="003821B1" w:rsidRPr="003821B1">
        <w:rPr>
          <w:rFonts w:ascii="Arial" w:hAnsi="Arial" w:cs="Arial"/>
          <w:sz w:val="24"/>
          <w:szCs w:val="24"/>
        </w:rPr>
        <w:t>restauración de las zonas afectadas.</w:t>
      </w:r>
    </w:p>
    <w:p w14:paraId="41659C35" w14:textId="2BB67B04" w:rsidR="00596345" w:rsidRDefault="00596345" w:rsidP="00FB3FED">
      <w:pPr>
        <w:spacing w:line="360" w:lineRule="auto"/>
        <w:rPr>
          <w:rFonts w:ascii="Arial" w:hAnsi="Arial" w:cs="Arial"/>
          <w:b/>
          <w:bCs/>
          <w:sz w:val="24"/>
          <w:szCs w:val="24"/>
        </w:rPr>
      </w:pPr>
      <w:r w:rsidRPr="00596345">
        <w:rPr>
          <w:rFonts w:ascii="Arial" w:hAnsi="Arial" w:cs="Arial"/>
          <w:b/>
          <w:bCs/>
          <w:sz w:val="24"/>
          <w:szCs w:val="24"/>
        </w:rPr>
        <w:t>Referencias.</w:t>
      </w:r>
    </w:p>
    <w:p w14:paraId="42ADE146" w14:textId="77777777" w:rsidR="009D2C29" w:rsidRPr="009D2C29" w:rsidRDefault="00E94C45" w:rsidP="009D2C29">
      <w:pPr>
        <w:pStyle w:val="Bibliografa"/>
        <w:spacing w:line="276" w:lineRule="auto"/>
        <w:jc w:val="both"/>
        <w:rPr>
          <w:rFonts w:ascii="Arial" w:hAnsi="Arial" w:cs="Arial"/>
          <w:sz w:val="24"/>
          <w:szCs w:val="24"/>
        </w:rPr>
      </w:pPr>
      <w:r w:rsidRPr="009D2C29">
        <w:rPr>
          <w:rFonts w:ascii="Arial" w:hAnsi="Arial" w:cs="Arial"/>
          <w:b/>
          <w:bCs/>
          <w:sz w:val="24"/>
          <w:szCs w:val="24"/>
        </w:rPr>
        <w:fldChar w:fldCharType="begin"/>
      </w:r>
      <w:r w:rsidR="009D2C29" w:rsidRPr="009D2C29">
        <w:rPr>
          <w:rFonts w:ascii="Arial" w:hAnsi="Arial" w:cs="Arial"/>
          <w:b/>
          <w:bCs/>
          <w:sz w:val="24"/>
          <w:szCs w:val="24"/>
        </w:rPr>
        <w:instrText xml:space="preserve"> ADDIN ZOTERO_BIBL {"uncited":[],"omitted":[],"custom":[]} CSL_BIBLIOGRAPHY </w:instrText>
      </w:r>
      <w:r w:rsidRPr="009D2C29">
        <w:rPr>
          <w:rFonts w:ascii="Arial" w:hAnsi="Arial" w:cs="Arial"/>
          <w:b/>
          <w:bCs/>
          <w:sz w:val="24"/>
          <w:szCs w:val="24"/>
        </w:rPr>
        <w:fldChar w:fldCharType="separate"/>
      </w:r>
      <w:r w:rsidR="009D2C29" w:rsidRPr="009D2C29">
        <w:rPr>
          <w:rFonts w:ascii="Arial" w:hAnsi="Arial" w:cs="Arial"/>
          <w:sz w:val="24"/>
          <w:szCs w:val="24"/>
        </w:rPr>
        <w:t xml:space="preserve">Agustín, D. C. (2017). Jalisco, en primer lugar en incendios forestales. </w:t>
      </w:r>
      <w:r w:rsidR="009D2C29" w:rsidRPr="009D2C29">
        <w:rPr>
          <w:rFonts w:ascii="Arial" w:hAnsi="Arial" w:cs="Arial"/>
          <w:i/>
          <w:iCs/>
          <w:sz w:val="24"/>
          <w:szCs w:val="24"/>
        </w:rPr>
        <w:t>Milenio</w:t>
      </w:r>
      <w:r w:rsidR="009D2C29" w:rsidRPr="009D2C29">
        <w:rPr>
          <w:rFonts w:ascii="Arial" w:hAnsi="Arial" w:cs="Arial"/>
          <w:sz w:val="24"/>
          <w:szCs w:val="24"/>
        </w:rPr>
        <w:t>, p. 1.</w:t>
      </w:r>
    </w:p>
    <w:p w14:paraId="23A80788" w14:textId="77777777" w:rsidR="009D2C29" w:rsidRPr="009D2C29" w:rsidRDefault="009D2C29" w:rsidP="009D2C29">
      <w:pPr>
        <w:pStyle w:val="Bibliografa"/>
        <w:spacing w:line="276" w:lineRule="auto"/>
        <w:jc w:val="both"/>
        <w:rPr>
          <w:rFonts w:ascii="Arial" w:hAnsi="Arial" w:cs="Arial"/>
          <w:sz w:val="24"/>
          <w:szCs w:val="24"/>
        </w:rPr>
      </w:pPr>
      <w:r w:rsidRPr="009D2C29">
        <w:rPr>
          <w:rFonts w:ascii="Arial" w:hAnsi="Arial" w:cs="Arial"/>
          <w:sz w:val="24"/>
          <w:szCs w:val="24"/>
        </w:rPr>
        <w:t xml:space="preserve">Alanís, E., Jiménez, J., Pando, M., Aguirre, Ó. A., Treviño, E. J., &amp; García, P. C. (2016). Efecto de la restauración ecológica post-incendio en la diversidad arbórea del Parque Ecológico Chipinque, México. </w:t>
      </w:r>
      <w:r w:rsidRPr="009D2C29">
        <w:rPr>
          <w:rFonts w:ascii="Arial" w:hAnsi="Arial" w:cs="Arial"/>
          <w:i/>
          <w:iCs/>
          <w:sz w:val="24"/>
          <w:szCs w:val="24"/>
        </w:rPr>
        <w:t>Madera y Bosques</w:t>
      </w:r>
      <w:r w:rsidRPr="009D2C29">
        <w:rPr>
          <w:rFonts w:ascii="Arial" w:hAnsi="Arial" w:cs="Arial"/>
          <w:sz w:val="24"/>
          <w:szCs w:val="24"/>
        </w:rPr>
        <w:t xml:space="preserve">, </w:t>
      </w:r>
      <w:r w:rsidRPr="009D2C29">
        <w:rPr>
          <w:rFonts w:ascii="Arial" w:hAnsi="Arial" w:cs="Arial"/>
          <w:i/>
          <w:iCs/>
          <w:sz w:val="24"/>
          <w:szCs w:val="24"/>
        </w:rPr>
        <w:t>16</w:t>
      </w:r>
      <w:r w:rsidRPr="009D2C29">
        <w:rPr>
          <w:rFonts w:ascii="Arial" w:hAnsi="Arial" w:cs="Arial"/>
          <w:sz w:val="24"/>
          <w:szCs w:val="24"/>
        </w:rPr>
        <w:t>(4), 39. https://doi.org/10.21829/myb.2010.1641159</w:t>
      </w:r>
    </w:p>
    <w:p w14:paraId="0035C2BA" w14:textId="77777777" w:rsidR="009D2C29" w:rsidRPr="009D2C29" w:rsidRDefault="009D2C29" w:rsidP="009D2C29">
      <w:pPr>
        <w:pStyle w:val="Bibliografa"/>
        <w:spacing w:line="276" w:lineRule="auto"/>
        <w:jc w:val="both"/>
        <w:rPr>
          <w:rFonts w:ascii="Arial" w:hAnsi="Arial" w:cs="Arial"/>
          <w:sz w:val="24"/>
          <w:szCs w:val="24"/>
        </w:rPr>
      </w:pPr>
      <w:r w:rsidRPr="009D2C29">
        <w:rPr>
          <w:rFonts w:ascii="Arial" w:hAnsi="Arial" w:cs="Arial"/>
          <w:sz w:val="24"/>
          <w:szCs w:val="24"/>
        </w:rPr>
        <w:t xml:space="preserve">Carrillo, R., Rodríguez, D., Tchikoué, H., Monterroso, A., &amp; Santillan, J. (2012). Análisis espacial de peligro de incendios forestales en Puebla, México. </w:t>
      </w:r>
      <w:r w:rsidRPr="009D2C29">
        <w:rPr>
          <w:rFonts w:ascii="Arial" w:hAnsi="Arial" w:cs="Arial"/>
          <w:i/>
          <w:iCs/>
          <w:sz w:val="24"/>
          <w:szCs w:val="24"/>
        </w:rPr>
        <w:t>Interciencia</w:t>
      </w:r>
      <w:r w:rsidRPr="009D2C29">
        <w:rPr>
          <w:rFonts w:ascii="Arial" w:hAnsi="Arial" w:cs="Arial"/>
          <w:sz w:val="24"/>
          <w:szCs w:val="24"/>
        </w:rPr>
        <w:t xml:space="preserve">, </w:t>
      </w:r>
      <w:r w:rsidRPr="009D2C29">
        <w:rPr>
          <w:rFonts w:ascii="Arial" w:hAnsi="Arial" w:cs="Arial"/>
          <w:i/>
          <w:iCs/>
          <w:sz w:val="24"/>
          <w:szCs w:val="24"/>
        </w:rPr>
        <w:t>37</w:t>
      </w:r>
      <w:r w:rsidRPr="009D2C29">
        <w:rPr>
          <w:rFonts w:ascii="Arial" w:hAnsi="Arial" w:cs="Arial"/>
          <w:sz w:val="24"/>
          <w:szCs w:val="24"/>
        </w:rPr>
        <w:t>(9), 678–683.</w:t>
      </w:r>
    </w:p>
    <w:p w14:paraId="297C16A3" w14:textId="77777777" w:rsidR="009D2C29" w:rsidRPr="009D2C29" w:rsidRDefault="009D2C29" w:rsidP="009D2C29">
      <w:pPr>
        <w:pStyle w:val="Bibliografa"/>
        <w:spacing w:line="276" w:lineRule="auto"/>
        <w:jc w:val="both"/>
        <w:rPr>
          <w:rFonts w:ascii="Arial" w:hAnsi="Arial" w:cs="Arial"/>
          <w:sz w:val="24"/>
          <w:szCs w:val="24"/>
        </w:rPr>
      </w:pPr>
      <w:r w:rsidRPr="009D2C29">
        <w:rPr>
          <w:rFonts w:ascii="Arial" w:hAnsi="Arial" w:cs="Arial"/>
          <w:sz w:val="24"/>
          <w:szCs w:val="24"/>
        </w:rPr>
        <w:t>Cashin, P., Mohaddes, K., &amp; Raissi, M. (2016). El Niño ¿Es bueno o malo? [Informativa]. Recuperado el 30 de junio de 2019, de Finanzas y Desarrollo website: https://www.imf.org/external/pubs/ft/fandd/spa/2016/03/pdf/cashin.pdf</w:t>
      </w:r>
    </w:p>
    <w:p w14:paraId="187D467B" w14:textId="77777777" w:rsidR="009D2C29" w:rsidRPr="009D2C29" w:rsidRDefault="009D2C29" w:rsidP="009D2C29">
      <w:pPr>
        <w:pStyle w:val="Bibliografa"/>
        <w:spacing w:line="276" w:lineRule="auto"/>
        <w:jc w:val="both"/>
        <w:rPr>
          <w:rFonts w:ascii="Arial" w:hAnsi="Arial" w:cs="Arial"/>
          <w:sz w:val="24"/>
          <w:szCs w:val="24"/>
        </w:rPr>
      </w:pPr>
      <w:r w:rsidRPr="009D2C29">
        <w:rPr>
          <w:rFonts w:ascii="Arial" w:hAnsi="Arial" w:cs="Arial"/>
          <w:sz w:val="24"/>
          <w:szCs w:val="24"/>
        </w:rPr>
        <w:t>Castañeda, J. C., Gallegos, A., Sánchez, M., &amp; Domínguez, P. A. (2012). Biomasa aérea y posibles emisiones de co</w:t>
      </w:r>
      <w:r w:rsidRPr="009D2C29">
        <w:rPr>
          <w:rFonts w:ascii="Arial" w:hAnsi="Arial" w:cs="Arial"/>
          <w:sz w:val="24"/>
          <w:szCs w:val="24"/>
          <w:vertAlign w:val="superscript"/>
        </w:rPr>
        <w:t>2</w:t>
      </w:r>
      <w:r w:rsidRPr="009D2C29">
        <w:rPr>
          <w:rFonts w:ascii="Arial" w:hAnsi="Arial" w:cs="Arial"/>
          <w:sz w:val="24"/>
          <w:szCs w:val="24"/>
        </w:rPr>
        <w:t xml:space="preserve"> después de un incendio; caso del bosque “La Primavera”, Jalisco, México. </w:t>
      </w:r>
      <w:r w:rsidRPr="009D2C29">
        <w:rPr>
          <w:rFonts w:ascii="Arial" w:hAnsi="Arial" w:cs="Arial"/>
          <w:i/>
          <w:iCs/>
          <w:sz w:val="24"/>
          <w:szCs w:val="24"/>
        </w:rPr>
        <w:t>Ra Ximhai</w:t>
      </w:r>
      <w:r w:rsidRPr="009D2C29">
        <w:rPr>
          <w:rFonts w:ascii="Arial" w:hAnsi="Arial" w:cs="Arial"/>
          <w:sz w:val="24"/>
          <w:szCs w:val="24"/>
        </w:rPr>
        <w:t>, 1–16. https://doi.org/10.35197/rx.08.03.e1.2012.01.jc</w:t>
      </w:r>
    </w:p>
    <w:p w14:paraId="1905A7B1" w14:textId="77777777" w:rsidR="009D2C29" w:rsidRPr="009D2C29" w:rsidRDefault="009D2C29" w:rsidP="009D2C29">
      <w:pPr>
        <w:pStyle w:val="Bibliografa"/>
        <w:spacing w:line="276" w:lineRule="auto"/>
        <w:jc w:val="both"/>
        <w:rPr>
          <w:rFonts w:ascii="Arial" w:hAnsi="Arial" w:cs="Arial"/>
          <w:sz w:val="24"/>
          <w:szCs w:val="24"/>
        </w:rPr>
      </w:pPr>
      <w:r w:rsidRPr="009D2C29">
        <w:rPr>
          <w:rFonts w:ascii="Arial" w:hAnsi="Arial" w:cs="Arial"/>
          <w:sz w:val="24"/>
          <w:szCs w:val="24"/>
        </w:rPr>
        <w:t xml:space="preserve">Cerano, J., Villanueva, J., Cervantes, R., Fulé, P., Yocom, L., Esquivel, G., &amp; Jardel, E. (2015). Historia de incendios en un bosque de pino de la sierra de Manantlán, Jalisco, México. </w:t>
      </w:r>
      <w:r w:rsidRPr="009D2C29">
        <w:rPr>
          <w:rFonts w:ascii="Arial" w:hAnsi="Arial" w:cs="Arial"/>
          <w:i/>
          <w:iCs/>
          <w:sz w:val="24"/>
          <w:szCs w:val="24"/>
        </w:rPr>
        <w:t>Bosque (Valdivia)</w:t>
      </w:r>
      <w:r w:rsidRPr="009D2C29">
        <w:rPr>
          <w:rFonts w:ascii="Arial" w:hAnsi="Arial" w:cs="Arial"/>
          <w:sz w:val="24"/>
          <w:szCs w:val="24"/>
        </w:rPr>
        <w:t xml:space="preserve">, </w:t>
      </w:r>
      <w:r w:rsidRPr="009D2C29">
        <w:rPr>
          <w:rFonts w:ascii="Arial" w:hAnsi="Arial" w:cs="Arial"/>
          <w:i/>
          <w:iCs/>
          <w:sz w:val="24"/>
          <w:szCs w:val="24"/>
        </w:rPr>
        <w:t>36</w:t>
      </w:r>
      <w:r w:rsidRPr="009D2C29">
        <w:rPr>
          <w:rFonts w:ascii="Arial" w:hAnsi="Arial" w:cs="Arial"/>
          <w:sz w:val="24"/>
          <w:szCs w:val="24"/>
        </w:rPr>
        <w:t>(1), 41–52. https://doi.org/10.4067/S0717-92002015000100005</w:t>
      </w:r>
    </w:p>
    <w:p w14:paraId="08FEDDF6" w14:textId="77777777" w:rsidR="009D2C29" w:rsidRPr="009D2C29" w:rsidRDefault="009D2C29" w:rsidP="009D2C29">
      <w:pPr>
        <w:pStyle w:val="Bibliografa"/>
        <w:spacing w:line="276" w:lineRule="auto"/>
        <w:jc w:val="both"/>
        <w:rPr>
          <w:rFonts w:ascii="Arial" w:hAnsi="Arial" w:cs="Arial"/>
          <w:sz w:val="24"/>
          <w:szCs w:val="24"/>
        </w:rPr>
      </w:pPr>
      <w:r w:rsidRPr="009D2C29">
        <w:rPr>
          <w:rFonts w:ascii="Arial" w:hAnsi="Arial" w:cs="Arial"/>
          <w:sz w:val="24"/>
          <w:szCs w:val="24"/>
        </w:rPr>
        <w:t>Comisión Nacional para el Conocimiento y Uso de la Biodiversidad. (2006). Sistema de Alerta Temprana de Incendios [Consulta]. Recuperado el 11 de julio de 2019, de Puntos de calor detectados con imágenes de satélite. website: http://incendios.conabio.gob.mx/</w:t>
      </w:r>
    </w:p>
    <w:p w14:paraId="3495E3BC" w14:textId="77777777" w:rsidR="009D2C29" w:rsidRPr="009D2C29" w:rsidRDefault="009D2C29" w:rsidP="009D2C29">
      <w:pPr>
        <w:pStyle w:val="Bibliografa"/>
        <w:spacing w:line="276" w:lineRule="auto"/>
        <w:jc w:val="both"/>
        <w:rPr>
          <w:rFonts w:ascii="Arial" w:hAnsi="Arial" w:cs="Arial"/>
          <w:sz w:val="24"/>
          <w:szCs w:val="24"/>
        </w:rPr>
      </w:pPr>
      <w:r w:rsidRPr="009D2C29">
        <w:rPr>
          <w:rFonts w:ascii="Arial" w:hAnsi="Arial" w:cs="Arial"/>
          <w:sz w:val="24"/>
          <w:szCs w:val="24"/>
        </w:rPr>
        <w:t>CONAFOR. (2016). Incendios forestales. [Informativa]. Recuperado el 10 de julio de 2019, de Incendios Forestales website: https://datos.gob.mx/busca/dataset/incendios-forestales</w:t>
      </w:r>
    </w:p>
    <w:p w14:paraId="754E7411" w14:textId="5690598E" w:rsidR="009D2C29" w:rsidRPr="009D2C29" w:rsidRDefault="009D2C29" w:rsidP="009D2C29">
      <w:pPr>
        <w:pStyle w:val="Bibliografa"/>
        <w:spacing w:line="276" w:lineRule="auto"/>
        <w:jc w:val="both"/>
        <w:rPr>
          <w:rFonts w:ascii="Arial" w:hAnsi="Arial" w:cs="Arial"/>
          <w:sz w:val="24"/>
          <w:szCs w:val="24"/>
        </w:rPr>
      </w:pPr>
      <w:r w:rsidRPr="009D2C29">
        <w:rPr>
          <w:rFonts w:ascii="Arial" w:hAnsi="Arial" w:cs="Arial"/>
          <w:sz w:val="24"/>
          <w:szCs w:val="24"/>
        </w:rPr>
        <w:t>CONAFOR. (2018). Reporte semanal de incendios forestales, 2018.. [Informativa]. Recuperado el 10 de julio de 2019, de Incendios Forestales, 2018 website: https://datos.gob.mx/busca/dataset/incendios-forestales</w:t>
      </w:r>
    </w:p>
    <w:p w14:paraId="7AC886D5" w14:textId="31891B99" w:rsidR="009D2C29" w:rsidRPr="009D2C29" w:rsidRDefault="009D2C29" w:rsidP="009D2C29">
      <w:pPr>
        <w:spacing w:line="276" w:lineRule="auto"/>
        <w:ind w:left="708" w:hanging="708"/>
        <w:jc w:val="both"/>
        <w:rPr>
          <w:rFonts w:ascii="Arial" w:hAnsi="Arial" w:cs="Arial"/>
          <w:sz w:val="24"/>
          <w:szCs w:val="24"/>
        </w:rPr>
      </w:pPr>
      <w:r w:rsidRPr="009D2C29">
        <w:rPr>
          <w:rFonts w:ascii="Arial" w:hAnsi="Arial" w:cs="Arial"/>
          <w:sz w:val="24"/>
          <w:szCs w:val="24"/>
        </w:rPr>
        <w:lastRenderedPageBreak/>
        <w:t>Dorrego, X. (2009). Teledetección y sig en la gestión de los incendios forestales en Galicia, 4. Santiago de Compostela. Salomón Montesinos Recuperado de http://www.aet.org.es/congresos/xiii/cal75.pdf</w:t>
      </w:r>
    </w:p>
    <w:p w14:paraId="5DC7A909" w14:textId="77777777" w:rsidR="009D2C29" w:rsidRPr="009D2C29" w:rsidRDefault="009D2C29" w:rsidP="009D2C29">
      <w:pPr>
        <w:pStyle w:val="Bibliografa"/>
        <w:spacing w:line="276" w:lineRule="auto"/>
        <w:jc w:val="both"/>
        <w:rPr>
          <w:rFonts w:ascii="Arial" w:hAnsi="Arial" w:cs="Arial"/>
          <w:sz w:val="24"/>
          <w:szCs w:val="24"/>
        </w:rPr>
      </w:pPr>
      <w:r w:rsidRPr="009D2C29">
        <w:rPr>
          <w:rFonts w:ascii="Arial" w:hAnsi="Arial" w:cs="Arial"/>
          <w:sz w:val="24"/>
          <w:szCs w:val="24"/>
        </w:rPr>
        <w:t xml:space="preserve">Gerritsen, P. R. W., Lomelí Jiménez, A., &amp; Ortiz Arrona, C. (2005). Urbanización y problemática socioambiental en la costa sur de Jalisco, México: Una aproximación. </w:t>
      </w:r>
      <w:r w:rsidRPr="009D2C29">
        <w:rPr>
          <w:rFonts w:ascii="Arial" w:hAnsi="Arial" w:cs="Arial"/>
          <w:i/>
          <w:iCs/>
          <w:sz w:val="24"/>
          <w:szCs w:val="24"/>
        </w:rPr>
        <w:t>Región y sociedad</w:t>
      </w:r>
      <w:r w:rsidRPr="009D2C29">
        <w:rPr>
          <w:rFonts w:ascii="Arial" w:hAnsi="Arial" w:cs="Arial"/>
          <w:sz w:val="24"/>
          <w:szCs w:val="24"/>
        </w:rPr>
        <w:t xml:space="preserve">, </w:t>
      </w:r>
      <w:r w:rsidRPr="009D2C29">
        <w:rPr>
          <w:rFonts w:ascii="Arial" w:hAnsi="Arial" w:cs="Arial"/>
          <w:i/>
          <w:iCs/>
          <w:sz w:val="24"/>
          <w:szCs w:val="24"/>
        </w:rPr>
        <w:t>17</w:t>
      </w:r>
      <w:r w:rsidRPr="009D2C29">
        <w:rPr>
          <w:rFonts w:ascii="Arial" w:hAnsi="Arial" w:cs="Arial"/>
          <w:sz w:val="24"/>
          <w:szCs w:val="24"/>
        </w:rPr>
        <w:t>(33), 107–132.</w:t>
      </w:r>
    </w:p>
    <w:p w14:paraId="4FAC97A9" w14:textId="77777777" w:rsidR="009D2C29" w:rsidRPr="009D2C29" w:rsidRDefault="009D2C29" w:rsidP="009D2C29">
      <w:pPr>
        <w:pStyle w:val="Bibliografa"/>
        <w:spacing w:line="276" w:lineRule="auto"/>
        <w:jc w:val="both"/>
        <w:rPr>
          <w:rFonts w:ascii="Arial" w:hAnsi="Arial" w:cs="Arial"/>
          <w:sz w:val="24"/>
          <w:szCs w:val="24"/>
        </w:rPr>
      </w:pPr>
      <w:r w:rsidRPr="009D2C29">
        <w:rPr>
          <w:rFonts w:ascii="Arial" w:hAnsi="Arial" w:cs="Arial"/>
          <w:sz w:val="24"/>
          <w:szCs w:val="24"/>
        </w:rPr>
        <w:t xml:space="preserve">Huerta, F., &amp; Ibarra, J. L. (2014). Incendios en el bosque la primavera (Jalisco, México): un acercamiento a sus posibles causas y consecuencias. </w:t>
      </w:r>
      <w:r w:rsidRPr="009D2C29">
        <w:rPr>
          <w:rFonts w:ascii="Arial" w:hAnsi="Arial" w:cs="Arial"/>
          <w:i/>
          <w:iCs/>
          <w:sz w:val="24"/>
          <w:szCs w:val="24"/>
        </w:rPr>
        <w:t>Ciencia UAT</w:t>
      </w:r>
      <w:r w:rsidRPr="009D2C29">
        <w:rPr>
          <w:rFonts w:ascii="Arial" w:hAnsi="Arial" w:cs="Arial"/>
          <w:sz w:val="24"/>
          <w:szCs w:val="24"/>
        </w:rPr>
        <w:t xml:space="preserve">, </w:t>
      </w:r>
      <w:r w:rsidRPr="009D2C29">
        <w:rPr>
          <w:rFonts w:ascii="Arial" w:hAnsi="Arial" w:cs="Arial"/>
          <w:i/>
          <w:iCs/>
          <w:sz w:val="24"/>
          <w:szCs w:val="24"/>
        </w:rPr>
        <w:t>9</w:t>
      </w:r>
      <w:r w:rsidRPr="009D2C29">
        <w:rPr>
          <w:rFonts w:ascii="Arial" w:hAnsi="Arial" w:cs="Arial"/>
          <w:sz w:val="24"/>
          <w:szCs w:val="24"/>
        </w:rPr>
        <w:t>(1), 23–32.</w:t>
      </w:r>
    </w:p>
    <w:p w14:paraId="2B42FC9F" w14:textId="77777777" w:rsidR="009D2C29" w:rsidRPr="009D2C29" w:rsidRDefault="009D2C29" w:rsidP="009D2C29">
      <w:pPr>
        <w:pStyle w:val="Bibliografa"/>
        <w:spacing w:line="276" w:lineRule="auto"/>
        <w:jc w:val="both"/>
        <w:rPr>
          <w:rFonts w:ascii="Arial" w:hAnsi="Arial" w:cs="Arial"/>
          <w:sz w:val="24"/>
          <w:szCs w:val="24"/>
        </w:rPr>
      </w:pPr>
      <w:r w:rsidRPr="009D2C29">
        <w:rPr>
          <w:rFonts w:ascii="Arial" w:hAnsi="Arial" w:cs="Arial"/>
          <w:sz w:val="24"/>
          <w:szCs w:val="24"/>
        </w:rPr>
        <w:t>Indigo. (2019). Incendios forestales sacuden a Jalisco. [Informativa]. Recuperado el 11 de julio de 2019, de Reporte Indigo website: https://www.reporteindigo.com/reporte/incendios-forestales-eltepopote-devastacion-medio-ambiente-autoridades/</w:t>
      </w:r>
    </w:p>
    <w:p w14:paraId="43E22B84" w14:textId="77777777" w:rsidR="009D2C29" w:rsidRPr="009D2C29" w:rsidRDefault="009D2C29" w:rsidP="009D2C29">
      <w:pPr>
        <w:pStyle w:val="Bibliografa"/>
        <w:spacing w:line="276" w:lineRule="auto"/>
        <w:jc w:val="both"/>
        <w:rPr>
          <w:rFonts w:ascii="Arial" w:hAnsi="Arial" w:cs="Arial"/>
          <w:sz w:val="24"/>
          <w:szCs w:val="24"/>
        </w:rPr>
      </w:pPr>
      <w:r w:rsidRPr="009D2C29">
        <w:rPr>
          <w:rFonts w:ascii="Arial" w:hAnsi="Arial" w:cs="Arial"/>
          <w:sz w:val="24"/>
          <w:szCs w:val="24"/>
        </w:rPr>
        <w:t>López, R. (2017). Alertan por el riesgo de incendios forestales. [Noticias]. Recuperado el 8 de julio de 2019, de Vallarta opina website: http://vallartaopina.net/2017/05/17/local/alertan-riesgo-incendios-forestales/</w:t>
      </w:r>
    </w:p>
    <w:p w14:paraId="56AC32EE" w14:textId="77777777" w:rsidR="009D2C29" w:rsidRPr="009D2C29" w:rsidRDefault="009D2C29" w:rsidP="009D2C29">
      <w:pPr>
        <w:pStyle w:val="Bibliografa"/>
        <w:spacing w:line="276" w:lineRule="auto"/>
        <w:jc w:val="both"/>
        <w:rPr>
          <w:rFonts w:ascii="Arial" w:hAnsi="Arial" w:cs="Arial"/>
          <w:sz w:val="24"/>
          <w:szCs w:val="24"/>
        </w:rPr>
      </w:pPr>
      <w:r w:rsidRPr="009D2C29">
        <w:rPr>
          <w:rFonts w:ascii="Arial" w:hAnsi="Arial" w:cs="Arial"/>
          <w:sz w:val="24"/>
          <w:szCs w:val="24"/>
        </w:rPr>
        <w:t xml:space="preserve">Manso, M. D., &amp; Taín, X. D. (1999). Georreferenciación y cuantificación de incendios forestales en Galicia. </w:t>
      </w:r>
      <w:r w:rsidRPr="009D2C29">
        <w:rPr>
          <w:rFonts w:ascii="Arial" w:hAnsi="Arial" w:cs="Arial"/>
          <w:i/>
          <w:iCs/>
          <w:sz w:val="24"/>
          <w:szCs w:val="24"/>
        </w:rPr>
        <w:t>Avances y aplicaciones</w:t>
      </w:r>
      <w:r w:rsidRPr="009D2C29">
        <w:rPr>
          <w:rFonts w:ascii="Arial" w:hAnsi="Arial" w:cs="Arial"/>
          <w:sz w:val="24"/>
          <w:szCs w:val="24"/>
        </w:rPr>
        <w:t>, 259–262. Recuperado de http://www.aet.org.es/congresos/viii/alb62.pdf</w:t>
      </w:r>
    </w:p>
    <w:p w14:paraId="272AB558" w14:textId="77777777" w:rsidR="009D2C29" w:rsidRPr="009D2C29" w:rsidRDefault="009D2C29" w:rsidP="009D2C29">
      <w:pPr>
        <w:pStyle w:val="Bibliografa"/>
        <w:spacing w:line="276" w:lineRule="auto"/>
        <w:jc w:val="both"/>
        <w:rPr>
          <w:rFonts w:ascii="Arial" w:hAnsi="Arial" w:cs="Arial"/>
          <w:sz w:val="24"/>
          <w:szCs w:val="24"/>
        </w:rPr>
      </w:pPr>
      <w:r w:rsidRPr="009D2C29">
        <w:rPr>
          <w:rFonts w:ascii="Arial" w:hAnsi="Arial" w:cs="Arial"/>
          <w:sz w:val="24"/>
          <w:szCs w:val="24"/>
        </w:rPr>
        <w:t xml:space="preserve">Mathews, A. S. (2006). Ignorancia, conocimiento y poder: El corte de la madera, el tráfico ilegal y las políticas forestales en México. </w:t>
      </w:r>
      <w:r w:rsidRPr="009D2C29">
        <w:rPr>
          <w:rFonts w:ascii="Arial" w:hAnsi="Arial" w:cs="Arial"/>
          <w:i/>
          <w:iCs/>
          <w:sz w:val="24"/>
          <w:szCs w:val="24"/>
        </w:rPr>
        <w:t>Desacatos</w:t>
      </w:r>
      <w:r w:rsidRPr="009D2C29">
        <w:rPr>
          <w:rFonts w:ascii="Arial" w:hAnsi="Arial" w:cs="Arial"/>
          <w:sz w:val="24"/>
          <w:szCs w:val="24"/>
        </w:rPr>
        <w:t>, (21), 135–160.</w:t>
      </w:r>
    </w:p>
    <w:p w14:paraId="2C7BC57D" w14:textId="77777777" w:rsidR="009D2C29" w:rsidRPr="009D2C29" w:rsidRDefault="009D2C29" w:rsidP="009D2C29">
      <w:pPr>
        <w:pStyle w:val="Bibliografa"/>
        <w:spacing w:line="276" w:lineRule="auto"/>
        <w:jc w:val="both"/>
        <w:rPr>
          <w:rFonts w:ascii="Arial" w:hAnsi="Arial" w:cs="Arial"/>
          <w:sz w:val="24"/>
          <w:szCs w:val="24"/>
        </w:rPr>
      </w:pPr>
      <w:r w:rsidRPr="009D2C29">
        <w:rPr>
          <w:rFonts w:ascii="Arial" w:hAnsi="Arial" w:cs="Arial"/>
          <w:sz w:val="24"/>
          <w:szCs w:val="24"/>
        </w:rPr>
        <w:t>Palacios, D. (2017). Afectará El Niño cultivos en Jalisco. [Informativa]. Recuperado el 8 de julio de 2019, de Afectará El Niño cultivos de Jalisco website: http://www.udg.mx/es/noticia/afectara-el-nino-cultivos-en-jalisco</w:t>
      </w:r>
    </w:p>
    <w:p w14:paraId="2354220E" w14:textId="77777777" w:rsidR="009D2C29" w:rsidRPr="009D2C29" w:rsidRDefault="009D2C29" w:rsidP="009D2C29">
      <w:pPr>
        <w:pStyle w:val="Bibliografa"/>
        <w:spacing w:line="276" w:lineRule="auto"/>
        <w:jc w:val="both"/>
        <w:rPr>
          <w:rFonts w:ascii="Arial" w:hAnsi="Arial" w:cs="Arial"/>
          <w:sz w:val="24"/>
          <w:szCs w:val="24"/>
        </w:rPr>
      </w:pPr>
      <w:r w:rsidRPr="009D2C29">
        <w:rPr>
          <w:rFonts w:ascii="Arial" w:hAnsi="Arial" w:cs="Arial"/>
          <w:sz w:val="24"/>
          <w:szCs w:val="24"/>
        </w:rPr>
        <w:t xml:space="preserve">Pérez, G., Márquez, A., Cortés, A., &amp; Salmerón, M. (2013). Análisis espacio-temporal de la ocurrencia de incendios forestales en Durango, México. </w:t>
      </w:r>
      <w:r w:rsidRPr="009D2C29">
        <w:rPr>
          <w:rFonts w:ascii="Arial" w:hAnsi="Arial" w:cs="Arial"/>
          <w:i/>
          <w:iCs/>
          <w:sz w:val="24"/>
          <w:szCs w:val="24"/>
        </w:rPr>
        <w:t>Madera y bosques</w:t>
      </w:r>
      <w:r w:rsidRPr="009D2C29">
        <w:rPr>
          <w:rFonts w:ascii="Arial" w:hAnsi="Arial" w:cs="Arial"/>
          <w:sz w:val="24"/>
          <w:szCs w:val="24"/>
        </w:rPr>
        <w:t xml:space="preserve">, </w:t>
      </w:r>
      <w:r w:rsidRPr="009D2C29">
        <w:rPr>
          <w:rFonts w:ascii="Arial" w:hAnsi="Arial" w:cs="Arial"/>
          <w:i/>
          <w:iCs/>
          <w:sz w:val="24"/>
          <w:szCs w:val="24"/>
        </w:rPr>
        <w:t>19</w:t>
      </w:r>
      <w:r w:rsidRPr="009D2C29">
        <w:rPr>
          <w:rFonts w:ascii="Arial" w:hAnsi="Arial" w:cs="Arial"/>
          <w:sz w:val="24"/>
          <w:szCs w:val="24"/>
        </w:rPr>
        <w:t>(2), 37–58.</w:t>
      </w:r>
    </w:p>
    <w:p w14:paraId="6DAB3E29" w14:textId="77777777" w:rsidR="009D2C29" w:rsidRPr="009D2C29" w:rsidRDefault="009D2C29" w:rsidP="009D2C29">
      <w:pPr>
        <w:pStyle w:val="Bibliografa"/>
        <w:spacing w:line="276" w:lineRule="auto"/>
        <w:jc w:val="both"/>
        <w:rPr>
          <w:rFonts w:ascii="Arial" w:hAnsi="Arial" w:cs="Arial"/>
          <w:sz w:val="24"/>
          <w:szCs w:val="24"/>
        </w:rPr>
      </w:pPr>
      <w:r w:rsidRPr="009D2C29">
        <w:rPr>
          <w:rFonts w:ascii="Arial" w:hAnsi="Arial" w:cs="Arial"/>
          <w:sz w:val="24"/>
          <w:szCs w:val="24"/>
        </w:rPr>
        <w:t xml:space="preserve">Pompa, M., &amp; Hernández, P. (2012). Determinación de la tendencia espacial de los puntos de calor como estrategia para monitorear los incendios forestales en Durango, México. </w:t>
      </w:r>
      <w:r w:rsidRPr="009D2C29">
        <w:rPr>
          <w:rFonts w:ascii="Arial" w:hAnsi="Arial" w:cs="Arial"/>
          <w:i/>
          <w:iCs/>
          <w:sz w:val="24"/>
          <w:szCs w:val="24"/>
        </w:rPr>
        <w:t>Bosque (Valdivia)</w:t>
      </w:r>
      <w:r w:rsidRPr="009D2C29">
        <w:rPr>
          <w:rFonts w:ascii="Arial" w:hAnsi="Arial" w:cs="Arial"/>
          <w:sz w:val="24"/>
          <w:szCs w:val="24"/>
        </w:rPr>
        <w:t xml:space="preserve">, </w:t>
      </w:r>
      <w:r w:rsidRPr="009D2C29">
        <w:rPr>
          <w:rFonts w:ascii="Arial" w:hAnsi="Arial" w:cs="Arial"/>
          <w:i/>
          <w:iCs/>
          <w:sz w:val="24"/>
          <w:szCs w:val="24"/>
        </w:rPr>
        <w:t>33</w:t>
      </w:r>
      <w:r w:rsidRPr="009D2C29">
        <w:rPr>
          <w:rFonts w:ascii="Arial" w:hAnsi="Arial" w:cs="Arial"/>
          <w:sz w:val="24"/>
          <w:szCs w:val="24"/>
        </w:rPr>
        <w:t>(1), 63–68. https://doi.org/10.4067/S0717-92002012000100007</w:t>
      </w:r>
    </w:p>
    <w:p w14:paraId="5D7CAB3F" w14:textId="77777777" w:rsidR="009D2C29" w:rsidRPr="009D2C29" w:rsidRDefault="009D2C29" w:rsidP="009D2C29">
      <w:pPr>
        <w:pStyle w:val="Bibliografa"/>
        <w:spacing w:line="276" w:lineRule="auto"/>
        <w:jc w:val="both"/>
        <w:rPr>
          <w:rFonts w:ascii="Arial" w:hAnsi="Arial" w:cs="Arial"/>
          <w:sz w:val="24"/>
          <w:szCs w:val="24"/>
        </w:rPr>
      </w:pPr>
      <w:r w:rsidRPr="009D2C29">
        <w:rPr>
          <w:rFonts w:ascii="Arial" w:hAnsi="Arial" w:cs="Arial"/>
          <w:sz w:val="24"/>
          <w:szCs w:val="24"/>
        </w:rPr>
        <w:t xml:space="preserve">Villers, M. de L. (2006). Incendios forestales. </w:t>
      </w:r>
      <w:r w:rsidRPr="009D2C29">
        <w:rPr>
          <w:rFonts w:ascii="Arial" w:hAnsi="Arial" w:cs="Arial"/>
          <w:i/>
          <w:iCs/>
          <w:sz w:val="24"/>
          <w:szCs w:val="24"/>
        </w:rPr>
        <w:t>Revista de ciencias</w:t>
      </w:r>
      <w:r w:rsidRPr="009D2C29">
        <w:rPr>
          <w:rFonts w:ascii="Arial" w:hAnsi="Arial" w:cs="Arial"/>
          <w:sz w:val="24"/>
          <w:szCs w:val="24"/>
        </w:rPr>
        <w:t xml:space="preserve">, </w:t>
      </w:r>
      <w:r w:rsidRPr="009D2C29">
        <w:rPr>
          <w:rFonts w:ascii="Arial" w:hAnsi="Arial" w:cs="Arial"/>
          <w:i/>
          <w:iCs/>
          <w:sz w:val="24"/>
          <w:szCs w:val="24"/>
        </w:rPr>
        <w:t>81</w:t>
      </w:r>
      <w:r w:rsidRPr="009D2C29">
        <w:rPr>
          <w:rFonts w:ascii="Arial" w:hAnsi="Arial" w:cs="Arial"/>
          <w:sz w:val="24"/>
          <w:szCs w:val="24"/>
        </w:rPr>
        <w:t>(81), 60–66.</w:t>
      </w:r>
    </w:p>
    <w:p w14:paraId="58CF4BD5" w14:textId="12C26F93" w:rsidR="00596345" w:rsidRDefault="00E94C45" w:rsidP="009D2C29">
      <w:pPr>
        <w:pStyle w:val="Bibliografa"/>
        <w:spacing w:line="276" w:lineRule="auto"/>
        <w:jc w:val="both"/>
        <w:rPr>
          <w:rFonts w:ascii="Arial" w:hAnsi="Arial" w:cs="Arial"/>
          <w:b/>
          <w:bCs/>
          <w:sz w:val="24"/>
          <w:szCs w:val="24"/>
        </w:rPr>
      </w:pPr>
      <w:r w:rsidRPr="009D2C29">
        <w:rPr>
          <w:rFonts w:ascii="Arial" w:hAnsi="Arial" w:cs="Arial"/>
          <w:b/>
          <w:bCs/>
          <w:sz w:val="24"/>
          <w:szCs w:val="24"/>
        </w:rPr>
        <w:fldChar w:fldCharType="end"/>
      </w:r>
    </w:p>
    <w:p w14:paraId="0BFF2CC4" w14:textId="5765047D" w:rsidR="00120D19" w:rsidRDefault="00120D19" w:rsidP="00120D19"/>
    <w:p w14:paraId="596A0C78" w14:textId="1A0AE292" w:rsidR="00120D19" w:rsidRPr="00120D19" w:rsidRDefault="00120D19" w:rsidP="00120D19"/>
    <w:sectPr w:rsidR="00120D19" w:rsidRPr="00120D1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684"/>
    <w:rsid w:val="00082B12"/>
    <w:rsid w:val="00120D19"/>
    <w:rsid w:val="001947DF"/>
    <w:rsid w:val="001E20EB"/>
    <w:rsid w:val="00215089"/>
    <w:rsid w:val="00263723"/>
    <w:rsid w:val="00281CF6"/>
    <w:rsid w:val="002B4AF8"/>
    <w:rsid w:val="002C098F"/>
    <w:rsid w:val="0033200C"/>
    <w:rsid w:val="00350737"/>
    <w:rsid w:val="003821B1"/>
    <w:rsid w:val="003D6E61"/>
    <w:rsid w:val="00422967"/>
    <w:rsid w:val="0042665F"/>
    <w:rsid w:val="00427253"/>
    <w:rsid w:val="0046197E"/>
    <w:rsid w:val="004A59D4"/>
    <w:rsid w:val="004B265D"/>
    <w:rsid w:val="004B6B9A"/>
    <w:rsid w:val="004D0AA9"/>
    <w:rsid w:val="00555D00"/>
    <w:rsid w:val="005600B5"/>
    <w:rsid w:val="00596345"/>
    <w:rsid w:val="005A14B7"/>
    <w:rsid w:val="005A31AF"/>
    <w:rsid w:val="005B5B38"/>
    <w:rsid w:val="005C498D"/>
    <w:rsid w:val="0061377A"/>
    <w:rsid w:val="00613D6C"/>
    <w:rsid w:val="00627684"/>
    <w:rsid w:val="006759FD"/>
    <w:rsid w:val="006804A9"/>
    <w:rsid w:val="006846B4"/>
    <w:rsid w:val="0070001A"/>
    <w:rsid w:val="007863E9"/>
    <w:rsid w:val="007B7721"/>
    <w:rsid w:val="008A5754"/>
    <w:rsid w:val="008B0039"/>
    <w:rsid w:val="008B5D53"/>
    <w:rsid w:val="008C36B7"/>
    <w:rsid w:val="00970D48"/>
    <w:rsid w:val="009A5CE8"/>
    <w:rsid w:val="009D2C29"/>
    <w:rsid w:val="009D7651"/>
    <w:rsid w:val="009F022C"/>
    <w:rsid w:val="00A2745B"/>
    <w:rsid w:val="00A874A2"/>
    <w:rsid w:val="00AA685C"/>
    <w:rsid w:val="00AA6966"/>
    <w:rsid w:val="00AE5DB7"/>
    <w:rsid w:val="00B07AF7"/>
    <w:rsid w:val="00B50221"/>
    <w:rsid w:val="00B6771D"/>
    <w:rsid w:val="00B90D30"/>
    <w:rsid w:val="00BD7F93"/>
    <w:rsid w:val="00C74D7A"/>
    <w:rsid w:val="00CA72AF"/>
    <w:rsid w:val="00CB18BC"/>
    <w:rsid w:val="00D25C1F"/>
    <w:rsid w:val="00D30CFE"/>
    <w:rsid w:val="00D36727"/>
    <w:rsid w:val="00D52136"/>
    <w:rsid w:val="00DD6EE5"/>
    <w:rsid w:val="00E14D9A"/>
    <w:rsid w:val="00E41537"/>
    <w:rsid w:val="00E544CE"/>
    <w:rsid w:val="00E63FBB"/>
    <w:rsid w:val="00E81F92"/>
    <w:rsid w:val="00E94C45"/>
    <w:rsid w:val="00F0384E"/>
    <w:rsid w:val="00F32D0B"/>
    <w:rsid w:val="00F53563"/>
    <w:rsid w:val="00F64E2A"/>
    <w:rsid w:val="00F6708C"/>
    <w:rsid w:val="00F7467A"/>
    <w:rsid w:val="00FB3FED"/>
    <w:rsid w:val="00FF1F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77146"/>
  <w15:chartTrackingRefBased/>
  <w15:docId w15:val="{E9AAD6AF-A125-4DD1-A538-2199A399B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27684"/>
    <w:rPr>
      <w:color w:val="0563C1" w:themeColor="hyperlink"/>
      <w:u w:val="single"/>
    </w:rPr>
  </w:style>
  <w:style w:type="character" w:styleId="Mencinsinresolver">
    <w:name w:val="Unresolved Mention"/>
    <w:basedOn w:val="Fuentedeprrafopredeter"/>
    <w:uiPriority w:val="99"/>
    <w:semiHidden/>
    <w:unhideWhenUsed/>
    <w:rsid w:val="00627684"/>
    <w:rPr>
      <w:color w:val="605E5C"/>
      <w:shd w:val="clear" w:color="auto" w:fill="E1DFDD"/>
    </w:rPr>
  </w:style>
  <w:style w:type="paragraph" w:styleId="Bibliografa">
    <w:name w:val="Bibliography"/>
    <w:basedOn w:val="Normal"/>
    <w:next w:val="Normal"/>
    <w:uiPriority w:val="37"/>
    <w:unhideWhenUsed/>
    <w:rsid w:val="00E94C45"/>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129149">
      <w:bodyDiv w:val="1"/>
      <w:marLeft w:val="0"/>
      <w:marRight w:val="0"/>
      <w:marTop w:val="0"/>
      <w:marBottom w:val="0"/>
      <w:divBdr>
        <w:top w:val="none" w:sz="0" w:space="0" w:color="auto"/>
        <w:left w:val="none" w:sz="0" w:space="0" w:color="auto"/>
        <w:bottom w:val="none" w:sz="0" w:space="0" w:color="auto"/>
        <w:right w:val="none" w:sz="0" w:space="0" w:color="auto"/>
      </w:divBdr>
    </w:div>
    <w:div w:id="56453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mailto:al158008@alumnos.uacj.mx"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10</Pages>
  <Words>7481</Words>
  <Characters>41148</Characters>
  <Application>Microsoft Office Word</Application>
  <DocSecurity>0</DocSecurity>
  <Lines>342</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MISHEL VALDEZ ZAVALA</dc:creator>
  <cp:keywords/>
  <dc:description/>
  <cp:lastModifiedBy>KARLA MISHEL VALDEZ ZAVALA</cp:lastModifiedBy>
  <cp:revision>83</cp:revision>
  <dcterms:created xsi:type="dcterms:W3CDTF">2019-09-06T01:05:00Z</dcterms:created>
  <dcterms:modified xsi:type="dcterms:W3CDTF">2019-09-12T03:23:00Z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zotero-version="5.0.64"&gt;&lt;session id="m2WyVH87"/&gt;&lt;style id="http://www.zotero.org/styles/apa" locale="es-MX" hasBibliography="1" bibliographyStyleHasBeenSet="1"/&gt;&lt;prefs&gt;&lt;pref name="fieldType" value="Field"/&gt;&lt;/prefs&gt;&lt;/data&gt;</vt:lpwstr>
  </property>
</Properties>
</file>